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74.png" ContentType="image/png"/>
  <Override PartName="/word/media/rId72.png" ContentType="image/png"/>
  <Override PartName="/word/media/rId75.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23</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t xml:space="preserve">One potentially important, but perhaps under-appreciated source of mortality for Chinook Salmon is predation on emigrating juveniles by piscivorous fishes, including both native and non-native species. Dams and reservoirs in the Columbia River basin are the primary locations associated with high rates of predation on salmonids</w:t>
      </w:r>
      <w:r>
        <w:t xml:space="preserve"> </w:t>
      </w:r>
      <w:r>
        <w:t xml:space="preserve">(Petersen 1994; Ward et al. 1995)</w:t>
      </w:r>
      <w:r>
        <w:t xml:space="preserve">. There are generally two maechanisms that explain these high predation zones. First, migration rates of juvenile Chinook Salmon are reduced during reservoir passage</w:t>
      </w:r>
      <w:r>
        <w:t xml:space="preserve"> </w:t>
      </w:r>
      <w:r>
        <w:t xml:space="preserve">(Venditti et al. 2000)</w:t>
      </w:r>
      <w:r>
        <w:t xml:space="preserve">, thereby increasing the time migrating smolts are vulnerable to predation. Second, reservoirs and downstream tailraces created by dams on the Columbia and Snake rivers have created favorable slow-water habitat for several species of piscivorous fish known to consume juvenile Chinook Salmon including Walleye</w:t>
      </w:r>
      <w:r>
        <w:t xml:space="preserve"> </w:t>
      </w:r>
      <w:r>
        <w:rPr>
          <w:iCs/>
          <w:i/>
        </w:rPr>
        <w:t xml:space="preserve">Sander vitreus</w:t>
      </w:r>
      <w:r>
        <w:t xml:space="preserve">, Smallmouth Bass</w:t>
      </w:r>
      <w:r>
        <w:t xml:space="preserve"> </w:t>
      </w:r>
      <w:r>
        <w:rPr>
          <w:iCs/>
          <w:i/>
        </w:rPr>
        <w:t xml:space="preserve">Micropterus dolomieu</w:t>
      </w:r>
      <w:r>
        <w:t xml:space="preserve">, and Northern Pikeminnow</w:t>
      </w:r>
      <w:r>
        <w:t xml:space="preserve"> </w:t>
      </w:r>
      <w:r>
        <w:rPr>
          <w:iCs/>
          <w:i/>
        </w:rPr>
        <w:t xml:space="preserve">Ptychocheilus oregonensis</w:t>
      </w:r>
      <w:r>
        <w:t xml:space="preserve">. In the Lower Granite Reservoir on the Snake River, juvenile Chinook Salmon are common prey items of non-native Smallmouth Bass during some seasons</w:t>
      </w:r>
      <w:r>
        <w:t xml:space="preserve"> </w:t>
      </w:r>
      <w:r>
        <w:t xml:space="preserve">(Erhardt et al. 2018)</w:t>
      </w:r>
      <w:r>
        <w:t xml:space="preserve">. Walleye also prefer slow water habitats and are considered a potentially important source for Juvenile Chinook Salmon mortality</w:t>
      </w:r>
      <w:r>
        <w:t xml:space="preserve"> </w:t>
      </w:r>
      <w:r>
        <w:t xml:space="preserve">(</w:t>
      </w:r>
      <w:r>
        <w:rPr>
          <w:bCs/>
          <w:b/>
        </w:rPr>
        <w:t xml:space="preserve">NOAA2020?</w:t>
      </w:r>
      <w:r>
        <w:t xml:space="preserve">)</w:t>
      </w:r>
      <w:r>
        <w:t xml:space="preserve">, particularly as their abundance has significantly increased in Snake River dam facilities between 2008 and 2020.</w:t>
      </w:r>
    </w:p>
    <w:p>
      <w:pPr>
        <w:pStyle w:val="BodyText"/>
      </w:pPr>
      <w:r>
        <w:t xml:space="preserve">In addition to non-native species, Northern Pikeminnow are a native, piscivorous fish preferring slow water habitats. Consequently, they too have benefited from dams on the Columbia River and become abundance predators on salmonid outmigrants</w:t>
      </w:r>
      <w:r>
        <w:t xml:space="preserve"> </w:t>
      </w:r>
      <w:r>
        <w:t xml:space="preserve">(Knutsen and Ward 1999)</w:t>
      </w:r>
      <w:r>
        <w:t xml:space="preserve">. Indeed, Northern Pikeminnow are estimated to consume 8% (16.4 million) of the estimated 200 million juvenile salmonids emigrating through the lower Snake and Columbia rivers, annually</w:t>
      </w:r>
      <w:r>
        <w:t xml:space="preserve"> </w:t>
      </w:r>
      <w:r>
        <w:t xml:space="preserve">(Beamesderfer et al. 1996)</w:t>
      </w:r>
      <w:r>
        <w:t xml:space="preserve">. Predation by piscivorous fish may have been a factor in the below-average survival of wild Chinook Salmon in 2020</w:t>
      </w:r>
      <w:r>
        <w:t xml:space="preserve"> </w:t>
      </w:r>
      <w:r>
        <w:t xml:space="preserve">(</w:t>
      </w:r>
      <w:r>
        <w:rPr>
          <w:bCs/>
          <w:b/>
        </w:rPr>
        <w:t xml:space="preserve">NOAA2020?</w:t>
      </w:r>
      <w:r>
        <w:t xml:space="preserve">)</w:t>
      </w:r>
      <w:r>
        <w:t xml:space="preserve">, however there is a dearth of current data on piscivorous predator populations in the Columbia River.</w:t>
      </w:r>
    </w:p>
    <w:p>
      <w:pPr>
        <w:pStyle w:val="BodyText"/>
      </w:pPr>
      <w:r>
        <w:t xml:space="preserve">Habitat containing slow-velocities and other attributes that support piscivorous predators are not limited to dams and reservoirs. One such area is the Deadwater Slough in the Salmon River, which occupies a 25.3-acre reach of unnaturally slow and deep water (Figure</w:t>
      </w:r>
      <w:r>
        <w:t xml:space="preserve"> </w:t>
      </w:r>
      <w:r>
        <w:t xml:space="preserve">1</w:t>
      </w:r>
      <w:r>
        <w:t xml:space="preserve">). The Deadwater Slough contains little to no cover, increased depth, and fine substrate which favor piscivorous fish predators (e.g., Northern Pikeminnow, Smallmouth Bass)</w:t>
      </w:r>
      <w:r>
        <w:t xml:space="preserve"> </w:t>
      </w:r>
      <w:r>
        <w:t xml:space="preserve">(Watkins et al. 2015)</w:t>
      </w:r>
      <w:r>
        <w:t xml:space="preserve">.</w:t>
      </w:r>
      <w:r>
        <w:t xml:space="preserve"> </w:t>
      </w:r>
      <w:r>
        <w:t xml:space="preserve">Axel et al. (2015)</w:t>
      </w:r>
      <w:r>
        <w:t xml:space="preserve"> </w:t>
      </w:r>
      <w:r>
        <w:t xml:space="preserve">demonstrated decreased rates of emigration and apparent survival for Sockeye Salmon</w:t>
      </w:r>
      <w:r>
        <w:t xml:space="preserve"> </w:t>
      </w:r>
      <w:r>
        <w:rPr>
          <w:iCs/>
          <w:i/>
        </w:rPr>
        <w:t xml:space="preserve">Oncorhynchus nerka</w:t>
      </w:r>
      <w:r>
        <w:t xml:space="preserve"> </w:t>
      </w:r>
      <w:r>
        <w:t xml:space="preserve">from Redfish Lake emigrating during the spring. Further, recent winter telemetry studies have indicated decreased transition probabilities (approximately 10% less than surrounding reaches) of juvenile Chinook salmon through Deadwater Slough during fall and winter months</w:t>
      </w:r>
      <w:r>
        <w:t xml:space="preserve"> </w:t>
      </w:r>
      <w:r>
        <w:t xml:space="preserve">(Ackerman et al. 2018; Porter et al. 2019)</w:t>
      </w:r>
      <w:r>
        <w:t xml:space="preserve">.</w:t>
      </w:r>
    </w:p>
    <w:p>
      <w:pPr>
        <w:pStyle w:val="BodyText"/>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1"/>
        </w:numPr>
        <w:pStyle w:val="Compact"/>
      </w:pPr>
      <w:r>
        <w:t xml:space="preserve">Estimate the abundance (or relative abundance) of potential predators in the Deadwater Slough during the peaks of fall (DSR) and spring (NRR) juvenile emigrations.</w:t>
      </w:r>
    </w:p>
    <w:p>
      <w:pPr>
        <w:numPr>
          <w:ilvl w:val="0"/>
          <w:numId w:val="1001"/>
        </w:numPr>
        <w:pStyle w:val="Compact"/>
      </w:pPr>
      <w:r>
        <w:t xml:space="preserve">Document predation on juvenile Chinook Salmon during the emigration periods using gastric lavage.</w:t>
      </w:r>
    </w:p>
    <w:p>
      <w:pPr>
        <w:numPr>
          <w:ilvl w:val="0"/>
          <w:numId w:val="1001"/>
        </w:numPr>
        <w:pStyle w:val="Compact"/>
      </w:pPr>
      <w:r>
        <w:t xml:space="preserve">Use a bioenergetics approach to estimate the total consumption of juvenile DSR and NRR Chinook salmon during defined emigration periods.</w:t>
      </w:r>
    </w:p>
    <w:p>
      <w:pPr>
        <w:numPr>
          <w:ilvl w:val="0"/>
          <w:numId w:val="1001"/>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abundance-of-piscivorous-fishes"/>
    <w:p>
      <w:pPr>
        <w:pStyle w:val="Heading2"/>
      </w:pPr>
      <w:r>
        <w:t xml:space="preserve">Abundance of Piscivorous Fishes</w:t>
      </w:r>
    </w:p>
    <w:p>
      <w:pPr>
        <w:pStyle w:val="FirstParagraph"/>
      </w:pPr>
      <w:r>
        <w:rPr>
          <w:bCs/>
          <w:b/>
        </w:rPr>
        <w:t xml:space="preserve">Data = C/M/R and Effort</w:t>
      </w:r>
    </w:p>
    <w:p>
      <w:pPr>
        <w:numPr>
          <w:ilvl w:val="0"/>
          <w:numId w:val="1002"/>
        </w:numPr>
        <w:pStyle w:val="Compact"/>
      </w:pPr>
      <w:r>
        <w:t xml:space="preserve">Capture methods used - We initially attempted electrofishing, snorkeling, netting, others?, but eventually settled on angling as best method for mark-recapture.</w:t>
      </w:r>
    </w:p>
    <w:p>
      <w:pPr>
        <w:numPr>
          <w:ilvl w:val="0"/>
          <w:numId w:val="1002"/>
        </w:numPr>
        <w:pStyle w:val="Compact"/>
      </w:pPr>
      <w:r>
        <w:t xml:space="preserve">Mark-recapture - We kept the mark and recapture events close together in an attempt to use a closed population model</w:t>
      </w:r>
    </w:p>
    <w:p>
      <w:pPr>
        <w:numPr>
          <w:ilvl w:val="0"/>
          <w:numId w:val="1002"/>
        </w:numPr>
        <w:pStyle w:val="Compact"/>
      </w:pPr>
      <w:r>
        <w:t xml:space="preserve">What are the assumptions of a closed population model?</w:t>
      </w:r>
    </w:p>
    <w:p>
      <w:pPr>
        <w:numPr>
          <w:ilvl w:val="0"/>
          <w:numId w:val="1002"/>
        </w:numPr>
        <w:pStyle w:val="Compact"/>
      </w:pPr>
      <w:r>
        <w:t xml:space="preserve">How was sampling performed? What relevant information was captured for each fish? How/where were fish released? How was effort recorded to calculate CPUE?</w:t>
      </w:r>
    </w:p>
    <w:p>
      <w:pPr>
        <w:numPr>
          <w:ilvl w:val="0"/>
          <w:numId w:val="1002"/>
        </w:numPr>
        <w:pStyle w:val="Compact"/>
      </w:pPr>
      <w:r>
        <w:t xml:space="preserve">Description of sampling time frame:</w:t>
      </w:r>
    </w:p>
    <w:p>
      <w:pPr>
        <w:numPr>
          <w:ilvl w:val="1"/>
          <w:numId w:val="1003"/>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3"/>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3"/>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Lincoln-Petersen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e>
              </m:d>
              <m:d>
                <m:dPr>
                  <m:begChr m:val="("/>
                  <m:endChr m:val=")"/>
                  <m:sepChr m:val=""/>
                  <m:grow/>
                </m:dPr>
                <m:e>
                  <m:r>
                    <m:t>n</m:t>
                  </m:r>
                </m:e>
              </m:d>
            </m:num>
            <m:den>
              <m:d>
                <m:dPr>
                  <m:begChr m:val="("/>
                  <m:endChr m:val=")"/>
                  <m:sepChr m:val=""/>
                  <m:grow/>
                </m:dPr>
                <m:e>
                  <m:r>
                    <m:t>m</m:t>
                  </m:r>
                </m:e>
              </m:d>
            </m:den>
          </m:f>
        </m:oMath>
      </m:oMathPara>
    </w:p>
    <w:p>
      <w:pPr>
        <w:pStyle w:val="FirstParagraph"/>
      </w:pPr>
      <w:r>
        <w:t xml:space="preserve">The Lincoln-Petersen estimator can be biased with small samples, so we also investigated the Chapman-modified Lincoln-Petersen estimator which is shown below.</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In our example, the sampling occasions are defined as each day of sampling.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p>
      <w:pPr>
        <w:pStyle w:val="FirstParagraph"/>
      </w:pPr>
      <w:r>
        <w:t xml:space="preserve">There is another estimator for this type of multiple census surveys, called the Schumacher-Eschmeyer estimator, which is based on minimizing the weighted sum of squares between the proportion of marked individuals in the sample and the unknown proportion of marked individuals in the population. It is shown below.</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Sup>
                <m:e>
                  <m:r>
                    <m:t>M</m:t>
                  </m:r>
                </m:e>
                <m:sub>
                  <m:r>
                    <m:t>i</m:t>
                  </m:r>
                </m:sub>
                <m:sup>
                  <m:r>
                    <m:t>2</m:t>
                  </m:r>
                </m:sup>
              </m:sSubSup>
            </m:num>
            <m:den>
              <m:nary>
                <m:naryPr>
                  <m:chr m:val="∑"/>
                  <m:limLoc m:val="undOvr"/>
                  <m:subHide m:val="0"/>
                  <m:supHide m:val="0"/>
                </m:naryPr>
                <m:sub>
                  <m:r>
                    <m:t>i</m:t>
                  </m:r>
                  <m:r>
                    <m:rPr>
                      <m:sty m:val="p"/>
                    </m:rPr>
                    <m:t>=</m:t>
                  </m:r>
                  <m:r>
                    <m:t>1</m:t>
                  </m:r>
                </m:sub>
                <m:sup>
                  <m:r>
                    <m:t>k</m:t>
                  </m:r>
                </m:sup>
                <m:e>
                  <m:sSub>
                    <m:e>
                      <m:r>
                        <m:t>m</m:t>
                      </m:r>
                    </m:e>
                    <m:sub>
                      <m:r>
                        <m:t>i</m:t>
                      </m:r>
                    </m:sub>
                  </m:sSub>
                </m:e>
              </m:nary>
              <m:sSub>
                <m:e>
                  <m:r>
                    <m:t>M</m:t>
                  </m:r>
                </m:e>
                <m:sub>
                  <m:r>
                    <m:t>i</m:t>
                  </m:r>
                </m:sub>
              </m:sSub>
            </m:den>
          </m:f>
        </m:oMath>
      </m:oMathPara>
    </w:p>
    <w:p>
      <w:pPr>
        <w:pStyle w:val="FirstParagraph"/>
      </w:pPr>
      <w:r>
        <w:t xml:space="preserve">Additionally, we calculated the proportional stock density (PSD) of Northern Pikeminnow with 300 mm total length (TL) for stock and 400 mm TL for quality.</w:t>
      </w:r>
    </w:p>
    <w:p>
      <w:pPr>
        <w:pStyle w:val="BodyText"/>
      </w:pPr>
      <m:oMathPara>
        <m:oMathParaPr>
          <m:jc m:val="center"/>
        </m:oMathParaPr>
        <m:oMath>
          <m:r>
            <m:t>P</m:t>
          </m:r>
          <m:r>
            <m:t>S</m:t>
          </m:r>
          <m:sSub>
            <m:e>
              <m:r>
                <m:t>D</m:t>
              </m:r>
            </m:e>
            <m:sub>
              <m:r>
                <m:t>i</m:t>
              </m:r>
            </m:sub>
          </m:sSub>
          <m:r>
            <m:rPr>
              <m:sty m:val="p"/>
            </m:rPr>
            <m:t>=</m:t>
          </m:r>
          <m:r>
            <m:t>100</m:t>
          </m:r>
          <m:r>
            <m:rPr>
              <m:sty m:val="p"/>
            </m:rPr>
            <m:t>*</m:t>
          </m:r>
          <m:f>
            <m:fPr>
              <m:type m:val="bar"/>
            </m:fPr>
            <m:num>
              <m:r>
                <m:t>F</m:t>
              </m:r>
              <m:sSub>
                <m:e>
                  <m:r>
                    <m:t>Q</m:t>
                  </m:r>
                </m:e>
                <m:sub>
                  <m:r>
                    <m:t>i</m:t>
                  </m:r>
                </m:sub>
              </m:sSub>
            </m:num>
            <m:den>
              <m:r>
                <m:t>F</m:t>
              </m:r>
              <m:sSub>
                <m:e>
                  <m:r>
                    <m:t>S</m:t>
                  </m:r>
                </m:e>
                <m:sub>
                  <m:r>
                    <m:t>i</m:t>
                  </m:r>
                </m:sub>
              </m:sSub>
            </m:den>
          </m:f>
        </m:oMath>
      </m:oMathPara>
    </w:p>
    <w:p>
      <w:pPr>
        <w:pStyle w:val="FirstParagraph"/>
      </w:pPr>
      <w:r>
        <w:t xml:space="preserve">where</w:t>
      </w:r>
      <w:r>
        <w:t xml:space="preserve"> </w:t>
      </w:r>
      <m:oMath>
        <m:r>
          <m:t>F</m:t>
        </m:r>
        <m:sSub>
          <m:e>
            <m:r>
              <m:t>Q</m:t>
            </m:r>
          </m:e>
          <m:sub>
            <m:r>
              <m:t>i</m:t>
            </m:r>
          </m:sub>
        </m:sSub>
      </m:oMath>
      <w:r>
        <w:t xml:space="preserve"> </w:t>
      </w:r>
      <w:r>
        <w:t xml:space="preserve">is the number of fish</w:t>
      </w:r>
      <w:r>
        <w:t xml:space="preserve"> </w:t>
      </w:r>
      <m:oMath>
        <m:r>
          <m:rPr>
            <m:sty m:val="p"/>
          </m:rPr>
          <m:t>≥</m:t>
        </m:r>
      </m:oMath>
      <w:r>
        <w:t xml:space="preserve"> </w:t>
      </w:r>
      <w:r>
        <w:t xml:space="preserve">quality-length for species</w:t>
      </w:r>
      <w:r>
        <w:t xml:space="preserve"> </w:t>
      </w:r>
      <m:oMath>
        <m:r>
          <m:t>i</m:t>
        </m:r>
      </m:oMath>
      <w:r>
        <w:t xml:space="preserve">, and</w:t>
      </w:r>
      <w:r>
        <w:t xml:space="preserve"> </w:t>
      </w:r>
      <m:oMath>
        <m:r>
          <m:t>F</m:t>
        </m:r>
        <m:sSub>
          <m:e>
            <m:r>
              <m:t>S</m:t>
            </m:r>
          </m:e>
          <m:sub>
            <m:r>
              <m:t>i</m:t>
            </m:r>
          </m:sub>
        </m:sSub>
      </m:oMath>
      <w:r>
        <w:t xml:space="preserve"> </w:t>
      </w:r>
      <w:r>
        <w:t xml:space="preserve">is the number of fish</w:t>
      </w:r>
      <w:r>
        <w:t xml:space="preserve"> </w:t>
      </w:r>
      <m:oMath>
        <m:r>
          <m:rPr>
            <m:sty m:val="p"/>
          </m:rPr>
          <m:t>≥</m:t>
        </m:r>
      </m:oMath>
      <w:r>
        <w:t xml:space="preserve"> </w:t>
      </w:r>
      <w:r>
        <w:t xml:space="preserve">stock-length for species</w:t>
      </w:r>
      <w:r>
        <w:t xml:space="preserve"> </w:t>
      </w:r>
      <m:oMath>
        <m:r>
          <m:t>i</m:t>
        </m:r>
      </m:oMath>
      <w:r>
        <w:t xml:space="preserve">.</w:t>
      </w:r>
    </w:p>
    <w:bookmarkEnd w:id="23"/>
    <w:bookmarkStart w:id="24" w:name="predation-on-juvenile-chinook-salmon"/>
    <w:p>
      <w:pPr>
        <w:pStyle w:val="Heading2"/>
      </w:pPr>
      <w:r>
        <w:t xml:space="preserve">Predation On Juvenile Chinook Salmon</w:t>
      </w:r>
    </w:p>
    <w:p>
      <w:pPr>
        <w:pStyle w:val="FirstParagraph"/>
      </w:pPr>
      <w:r>
        <w:t xml:space="preserve">Gastric lavage</w:t>
      </w:r>
      <w:r>
        <w:t xml:space="preserve"> </w:t>
      </w:r>
      <w:r>
        <w:t xml:space="preserve">(Foster 1977)</w:t>
      </w:r>
      <w:r>
        <w:t xml:space="preserve"> </w:t>
      </w:r>
      <w:r>
        <w:t xml:space="preserve">was used to examine the stomach contents of Northern Pikeminnow for the presence of juvenile Chinook Salmon, other fishes (e.g., juvenile steelhead, juvenile Sockeye Salmon, Redside Shiner, etc.), and non-targets (e.g., macroinvertebrates, organic matter, etc.). Stomach contents were preserved with 99% isopropyl alcohol in whirl-paks and analyzed in a laboratory. For each sample, wet weight (grams) was recorded for the combined stomach content and for the fish content. Fish and fish remnants were identified to the lowest taxonomic unit, when possible, or were categorized as unknown. A subset of Northern Pikeminnow captures were euthanized for dissection after gastric lavage to validate the efficacy of the methodology.</w:t>
      </w:r>
    </w:p>
    <w:bookmarkEnd w:id="24"/>
    <w:bookmarkStart w:id="25" w:name="bioenergetics"/>
    <w:p>
      <w:pPr>
        <w:pStyle w:val="Heading2"/>
      </w:pPr>
      <w:r>
        <w:t xml:space="preserve">Bioenergetics</w:t>
      </w:r>
    </w:p>
    <w:p>
      <w:pPr>
        <w:pStyle w:val="FirstParagraph"/>
      </w:pPr>
      <w:r>
        <w:t xml:space="preserve">To estimate the consumption of juvenile Chinook Salmon outmigrants by Northern Pikeminnow in the Deadwater Slough, we used the Fish Bioenergetics v4.0 applicatioon developed by</w:t>
      </w:r>
      <w:r>
        <w:t xml:space="preserve"> </w:t>
      </w:r>
      <w:r>
        <w:t xml:space="preserve">Deslauriers et al. (2017)</w:t>
      </w:r>
      <w:r>
        <w:t xml:space="preserve">. The daily rate of consumption in grams for an individual Northern Pikeminnow was based on predator and prey energy densities, predator start and end weights, and water temperatures. Predator energy density for Northern Pikeminnow was fixed at 6,703 Joules(J)/g</w:t>
      </w:r>
      <w:r>
        <w:t xml:space="preserve"> </w:t>
      </w:r>
      <w:r>
        <w:t xml:space="preserve">(Deslauriers et al. 2017)</w:t>
      </w:r>
      <w:r>
        <w:t xml:space="preserve">. Prey energy densities were fixed at 21,500 J/g for juvenile Chinook salmon based on estimate from</w:t>
      </w:r>
      <w:r>
        <w:t xml:space="preserve"> </w:t>
      </w:r>
      <w:r>
        <w:t xml:space="preserve">Moss et al. (2016)</w:t>
      </w:r>
      <w:r>
        <w:t xml:space="preserve">. To calculate the average predator start weight, we converted the average length of Northern Pikeminnow captured during our study to a weight using a weight-length formula for Northern Pikeminnow</w:t>
      </w:r>
      <w:r>
        <w:t xml:space="preserve"> </w:t>
      </w:r>
      <w:r>
        <w:t xml:space="preserve">(Parker et al. 1995)</w:t>
      </w:r>
      <w:r>
        <w:t xml:space="preserve"> </w:t>
      </w:r>
      <w:r>
        <w:t xml:space="preserve">from the FSA package</w:t>
      </w:r>
      <w:r>
        <w:t xml:space="preserve"> </w:t>
      </w:r>
      <w:r>
        <w:t xml:space="preserve">(Ogle et al. 2021)</w:t>
      </w:r>
      <w:r>
        <w:t xml:space="preserve">. Continuous water temperature data from 2019 were used in two alternative models, on using the baseline start and end weights and the second with a 10% increase in average end weight of Northern Pikeminnow.</w:t>
      </w:r>
    </w:p>
    <w:p>
      <w:pPr>
        <w:pStyle w:val="BodyText"/>
      </w:pPr>
      <w:r>
        <w:t xml:space="preserve">We ran three bioenergetic models for this study. For the first model, we chose a 78-day period from September 1 through November 17 when DSR emigrants are known to enter the mainstem Salmon River from natal tributaries (e.g., Lemhi River) and begin their downstream migration. During this time, water temperatures exceed the range (0-7</w:t>
      </w:r>
      <m:oMath>
        <m:sSup>
          <m:e>
            <m:r>
              <m:t>​</m:t>
            </m:r>
          </m:e>
          <m:sup>
            <m:r>
              <m:rPr>
                <m:sty m:val="p"/>
              </m:rPr>
              <m:t>∘</m:t>
            </m:r>
          </m:sup>
        </m:sSup>
      </m:oMath>
      <w:r>
        <w:t xml:space="preserve">C) that would illicit concealment behavior or torpor from juvenile Chinook Salmon. This model assumed no growth for Northern Pikeminnow. The second model was run for one-year and assumed no growth for Northern Pikeminnow. The assumption of no growth for pikeminnow was included to show what may be occurring if the populaiton of Northern Pikeminnow is stable. If growth of the population is occurring, the alternative model shows how an increase of 10% body weight changes the estimtes of consumption over a full year period. To estimate the number of possible Chinook Salmon that could be consumed, we assumed a weight of 12 g per individual Chinook Salmon. This weight was an average from juvenile Chinook Salmon emigrating past six rotary screw traps operating in the Upper Salmon above Deadwater Slough including traps in the Lemhi, Pahsimeroi, and North Fork Salmon rivers and one trap operating near the Sawtooth hatchery.</w:t>
      </w:r>
    </w:p>
    <w:bookmarkEnd w:id="25"/>
    <w:bookmarkStart w:id="26" w:name="impacts-to-adult-returns"/>
    <w:p>
      <w:pPr>
        <w:pStyle w:val="Heading2"/>
      </w:pPr>
      <w:r>
        <w:t xml:space="preserve">Impacts to Adult Returns</w:t>
      </w:r>
    </w:p>
    <w:p>
      <w:pPr>
        <w:pStyle w:val="FirstParagraph"/>
      </w:pPr>
      <w:r>
        <w:t xml:space="preserve">Text here…</w:t>
      </w:r>
    </w:p>
    <w:bookmarkEnd w:id="26"/>
    <w:bookmarkEnd w:id="27"/>
    <w:bookmarkStart w:id="32" w:name="results"/>
    <w:p>
      <w:pPr>
        <w:pStyle w:val="Heading1"/>
      </w:pPr>
      <w:r>
        <w:t xml:space="preserve">Results</w:t>
      </w:r>
    </w:p>
    <w:bookmarkStart w:id="28" w:name="abundance-of-piscivorous-fishes-1"/>
    <w:p>
      <w:pPr>
        <w:pStyle w:val="Heading2"/>
      </w:pPr>
      <w:r>
        <w:t xml:space="preserve">Abundance of Piscivorous Fishes</w:t>
      </w:r>
    </w:p>
    <w:p>
      <w:pPr>
        <w:pStyle w:val="FirstParagraph"/>
      </w:pPr>
      <w:r>
        <w:t xml:space="preserve">PSD for northern pikeminnow across all three years was 42.26% or 42.26% of fish were over the quality size classification 400 mm TL we denoted in the Methods, demonstrating a high percentage of above average size classs present within Deadwater Slough.</w:t>
      </w:r>
    </w:p>
    <w:bookmarkEnd w:id="28"/>
    <w:bookmarkStart w:id="29" w:name="predation-on-juvenile-chinook-salmon-1"/>
    <w:p>
      <w:pPr>
        <w:pStyle w:val="Heading2"/>
      </w:pPr>
      <w:r>
        <w:t xml:space="preserve">Predation On Juvenile Chinook Salmon</w:t>
      </w:r>
    </w:p>
    <w:p>
      <w:pPr>
        <w:pStyle w:val="FirstParagraph"/>
      </w:pPr>
      <w:r>
        <w:t xml:space="preserve">During 2019, 660 Northern Pikeminnow were gastric lavaged. Of those fish, we observed 603 individuals with empty stomachs, and 57 individuals with stomach contents. Twelve of the samples contained fish remnants including a single Mountain Whitefish and two Redside Shiners. During the 2020 season, 805 Northern Pikeminnow were gastric lavaged comprised of 613 individuals with empty stomachs and 188 individuals with stomach contents. Twenty-three individuals had fish remnants in their stomach contents including ten with unidentifiable remnants, six Redside Shiners, four suckers, two sculpin, and one juvenile Chinook Salmon. In 2021, we collected stomach contents from 105 Northern Pikeminnow with 98 containing non-fish prey items and observed seven containing fish remnants.</w:t>
      </w:r>
    </w:p>
    <w:bookmarkEnd w:id="29"/>
    <w:bookmarkStart w:id="30" w:name="bioenergetics-1"/>
    <w:p>
      <w:pPr>
        <w:pStyle w:val="Heading2"/>
      </w:pPr>
      <w:r>
        <w:t xml:space="preserve">Bioenergetics</w:t>
      </w:r>
    </w:p>
    <w:p>
      <w:pPr>
        <w:pStyle w:val="FirstParagraph"/>
      </w:pPr>
      <w:r>
        <w:t xml:space="preserve">Over the fall time period a single Northern Pikeminnow is modeled to eat 61 g of fish. For the estimated population of</w:t>
      </w:r>
      <w:r>
        <w:t xml:space="preserve"> </w:t>
      </w:r>
      <w:r>
        <w:rPr>
          <w:iCs/>
          <w:i/>
          <w:bCs/>
          <w:b/>
        </w:rPr>
        <w:t xml:space="preserve">xx,xxx</w:t>
      </w:r>
      <w:r>
        <w:t xml:space="preserve">, then</w:t>
      </w:r>
      <w:r>
        <w:t xml:space="preserve"> </w:t>
      </w:r>
      <w:r>
        <w:rPr>
          <w:iCs/>
          <w:i/>
          <w:bCs/>
          <w:b/>
        </w:rPr>
        <w:t xml:space="preserve">xxx,xxx</w:t>
      </w:r>
      <w:r>
        <w:t xml:space="preserve"> </w:t>
      </w:r>
      <w:r>
        <w:t xml:space="preserve">g of fish are being eaten each fall during the migration of juvenile Chinook Salmon. Therefore, Northern Pikeminnow in the Deadwater Slough can potentially consume</w:t>
      </w:r>
      <w:r>
        <w:t xml:space="preserve"> </w:t>
      </w:r>
      <w:r>
        <w:rPr>
          <w:iCs/>
          <w:i/>
          <w:bCs/>
          <w:b/>
        </w:rPr>
        <w:t xml:space="preserve">xx,xxx</w:t>
      </w:r>
      <w:r>
        <w:t xml:space="preserve"> </w:t>
      </w:r>
      <w:r>
        <w:t xml:space="preserve">juvenile Chinook Salmon as a discrete population.</w:t>
      </w:r>
    </w:p>
    <w:p>
      <w:pPr>
        <w:pStyle w:val="BodyText"/>
      </w:pPr>
      <w:r>
        <w:t xml:space="preserve">Over an entire year, we estimate that a single Northern Pikeminnow will eat 283 g of fish and 613 g of other food types.</w:t>
      </w:r>
    </w:p>
    <w:bookmarkEnd w:id="30"/>
    <w:bookmarkStart w:id="31" w:name="impacts-to-adult-returns-1"/>
    <w:p>
      <w:pPr>
        <w:pStyle w:val="Heading2"/>
      </w:pPr>
      <w:r>
        <w:t xml:space="preserve">Impacts to Adult Returns</w:t>
      </w:r>
    </w:p>
    <w:p>
      <w:pPr>
        <w:numPr>
          <w:ilvl w:val="0"/>
          <w:numId w:val="1004"/>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bookmarkEnd w:id="33"/>
    <w:bookmarkStart w:id="34" w:name="gastric-lavage"/>
    <w:p>
      <w:pPr>
        <w:pStyle w:val="Heading2"/>
      </w:pPr>
      <w:r>
        <w:t xml:space="preserve">Gastric Lavage</w:t>
      </w:r>
    </w:p>
    <w:p>
      <w:pPr>
        <w:pStyle w:val="FirstParagraph"/>
      </w:pPr>
      <w:r>
        <w:t xml:space="preserve">The majority of fish collected during this study received gastric lavage, including some non-predatory species. To validate the efficacy of this method, we euthanized nine Northern Pikeminnow after gastric lavage was completed and removed the remaining stomach contents via dissection. Our results support previous findings that gastric lavage effectively removes stomach contents (</w:t>
      </w:r>
      <w:r>
        <w:t xml:space="preserve">Lott et al. (2020)</w:t>
      </w:r>
      <w:r>
        <w:t xml:space="preserve">). Additionally, we found that the fish captured in net-traps had a similar proportion of stomach content samples. of those, 1,214 (76.2%) were completely empty, 345 (21.6%) had stomach contents, and 35 (2.2%) contained fish remnants. We were successfully able to identify Redside Shiners, a Largescale Sucker, sculpin, Mountain Whitefish, and one juvenile Chinook Salmon in the stomach contents. However, decomposition from digestion rendered most stomach contents unidentifiable.</w:t>
      </w:r>
    </w:p>
    <w:bookmarkEnd w:id="34"/>
    <w:bookmarkStart w:id="35" w:name="bioenergetics-2"/>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2"/>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associated riparian and backwater habitats</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initial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We estimated that consumption of juvenile Chinook Salmon by Northern Pikeminnow in the Deadwater Slough potentially reduces annual adult returns by</w:t>
      </w:r>
      <w:r>
        <w:t xml:space="preserve"> </w:t>
      </w:r>
      <w:r>
        <w:rPr>
          <w:iCs/>
          <w:i/>
          <w:bCs/>
          <w:b/>
        </w:rPr>
        <w:t xml:space="preserve">xxx - x,xxx</w:t>
      </w:r>
      <w:r>
        <w:t xml:space="preserve"> </w:t>
      </w:r>
      <w:r>
        <w:t xml:space="preserve">(perhaps express as percent, too) to upriver populations. Presumably, that reduction in adult returns impacts both the ESA-listed natural populations in the Upper Salmon River MPG and two hatchery populations in the Upper Salmon, Pahsimeroi and Sawtooth hatcheries, which provide for recrational fishing opportunities. Consequently, reducing juvenile Chinook Salmon predation mortalities at Deadwater Slough can potentially benefit multiple upriver natural and hatchery populations upriver. Because the Deadwater Slough is part of the migratory pathway for emigrating salmonids, including for multiple species and populations, the impact of that benefit would likely be higher than tributary habitat rehabilitation actions, which typically benefit a single population. Moreover, the deepened, slack water conditions that favor northern pikeminnow at Deadwater Slough are indirectly the result of manmade activities i.e., the failure of a manmade mining reservoir dam. Given these reasons, it seems that Deadwater Slough could be a candidate for management or restoration actions to benefit local Chinook Salmon populations.</w:t>
      </w:r>
    </w:p>
    <w:p>
      <w:pPr>
        <w:pStyle w:val="BodyText"/>
      </w:pPr>
      <w:r>
        <w:t xml:space="preserve">We see two potential management actions: 1) removing the Dump Creek delta to restore flow and 2) a local northern pikeminnow bounty program to encourage harvest of northern pikeminnow in Deadwater Slough.</w:t>
      </w:r>
    </w:p>
    <w:bookmarkEnd w:id="40"/>
    <w:bookmarkStart w:id="41" w:name="conclusions"/>
    <w:p>
      <w:pPr>
        <w:pStyle w:val="Heading2"/>
      </w:pPr>
      <w:r>
        <w:t xml:space="preserve">Conclusions</w:t>
      </w:r>
    </w:p>
    <w:p>
      <w:pPr>
        <w:numPr>
          <w:ilvl w:val="0"/>
          <w:numId w:val="1005"/>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05"/>
        </w:numPr>
        <w:pStyle w:val="Compact"/>
      </w:pPr>
      <w:r>
        <w:t xml:space="preserve">The end.</w:t>
      </w:r>
    </w:p>
    <w:bookmarkEnd w:id="41"/>
    <w:bookmarkEnd w:id="42"/>
    <w:bookmarkStart w:id="43" w:name="acknowledgements"/>
    <w:p>
      <w:pPr>
        <w:pStyle w:val="Heading1"/>
      </w:pPr>
      <w:r>
        <w:t xml:space="preserve">Acknowledgements</w:t>
      </w:r>
    </w:p>
    <w:p>
      <w:pPr>
        <w:pStyle w:val="FirstParagraph"/>
      </w:pPr>
      <w:r>
        <w:t xml:space="preserve">The authors extent much appreciation to the many volunteers who assisted with field efforts including collaborators from Bureau of Reclamation, Idaho Department of Fish and Game, and Lemhi Regional Land Trust, among others. This manuscript benefited from reviews and contributions from colleagues at the Idaho Governor’s Office of Species Conservation, Rio Applied Science and Engineering, and from Sean Gibbs and Ben Briscoe at Mount Hood Environmental. Funding for this study was provided by the Bureau of Reclamation, Pacific Northwest Regional Office (contract No. 140R1021F0018). Special thanks to Caitlin Alcott and Inter-Fluve for their administrative support and guidance.</w:t>
      </w:r>
    </w:p>
    <w:p>
      <w:r>
        <w:br w:type="page"/>
      </w:r>
    </w:p>
    <w:bookmarkEnd w:id="43"/>
    <w:bookmarkStart w:id="68" w:name="literature-cited"/>
    <w:p>
      <w:pPr>
        <w:pStyle w:val="Heading1"/>
      </w:pPr>
      <w:r>
        <w:t xml:space="preserve">Literature Cited</w:t>
      </w:r>
    </w:p>
    <w:bookmarkStart w:id="67"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Beamesderfer1996"/>
    <w:p>
      <w:pPr>
        <w:pStyle w:val="Bibliography"/>
      </w:pPr>
      <w:r>
        <w:t xml:space="preserve">Beamesderfer, C. P., D. L. Ward, and A. A. Nigro. 1996. Evaluation of the biological basis for a predator control program on northern pikeminnow (</w:t>
      </w:r>
      <w:r>
        <w:rPr>
          <w:iCs/>
          <w:i/>
        </w:rPr>
        <w:t xml:space="preserve">Ptychocheilus</w:t>
      </w:r>
      <w:r>
        <w:t xml:space="preserve"> </w:t>
      </w:r>
      <w:r>
        <w:rPr>
          <w:iCs/>
          <w:i/>
        </w:rPr>
        <w:t xml:space="preserve">Oregonensis</w:t>
      </w:r>
      <w:r>
        <w:t xml:space="preserve"> </w:t>
      </w:r>
      <w:r>
        <w:t xml:space="preserve">in the</w:t>
      </w:r>
      <w:r>
        <w:t xml:space="preserve"> </w:t>
      </w:r>
      <w:r>
        <w:t xml:space="preserve">Columbia</w:t>
      </w:r>
      <w:r>
        <w:t xml:space="preserve"> </w:t>
      </w:r>
      <w:r>
        <w:t xml:space="preserve">and</w:t>
      </w:r>
      <w:r>
        <w:t xml:space="preserve"> </w:t>
      </w:r>
      <w:r>
        <w:t xml:space="preserve">Snake</w:t>
      </w:r>
      <w:r>
        <w:t xml:space="preserve"> </w:t>
      </w:r>
      <w:r>
        <w:t xml:space="preserve">rivers. Canadian Journal of Fisheries and Aquatic Sciences 53:2898–2908.</w:t>
      </w:r>
    </w:p>
    <w:bookmarkEnd w:id="46"/>
    <w:bookmarkStart w:id="47" w:name="ref-Copeland2014"/>
    <w:p>
      <w:pPr>
        <w:pStyle w:val="Bibliography"/>
      </w:pPr>
      <w:r>
        <w:t xml:space="preserve">Copeland, T., M. W. Ackerman, M. P. Corsi, P. Kennedy, K. K. Wright, M. R. Campbell, and W. C. Schrader. 2014. Wild</w:t>
      </w:r>
      <w:r>
        <w:t xml:space="preserve"> </w:t>
      </w:r>
      <w:r>
        <w:t xml:space="preserve">Juvenile Steelhead</w:t>
      </w:r>
      <w:r>
        <w:t xml:space="preserve"> </w:t>
      </w:r>
      <w:r>
        <w:t xml:space="preserve">and</w:t>
      </w:r>
      <w:r>
        <w:t xml:space="preserve"> </w:t>
      </w:r>
      <w:r>
        <w:t xml:space="preserve">Chinook Salmon Abundance</w:t>
      </w:r>
      <w:r>
        <w:t xml:space="preserve"> </w:t>
      </w:r>
      <w:r>
        <w:t xml:space="preserve">and</w:t>
      </w:r>
      <w:r>
        <w:t xml:space="preserve"> </w:t>
      </w:r>
      <w:r>
        <w:t xml:space="preserve">Composition</w:t>
      </w:r>
      <w:r>
        <w:t xml:space="preserve"> </w:t>
      </w:r>
      <w:r>
        <w:t xml:space="preserve">at</w:t>
      </w:r>
      <w:r>
        <w:t xml:space="preserve"> </w:t>
      </w:r>
      <w:r>
        <w:t xml:space="preserve">Lower Granite Dam</w:t>
      </w:r>
      <w:r>
        <w:t xml:space="preserve">,</w:t>
      </w:r>
      <w:r>
        <w:t xml:space="preserve"> </w:t>
      </w:r>
      <w:r>
        <w:t xml:space="preserve">Migratory Years</w:t>
      </w:r>
      <w:r>
        <w:t xml:space="preserve"> </w:t>
      </w:r>
      <w:r>
        <w:t xml:space="preserve">2010 and 2011.</w:t>
      </w:r>
      <w:r>
        <w:t xml:space="preserve"> </w:t>
      </w:r>
      <w:r>
        <w:t xml:space="preserve">Idaho Department of Fish and Game</w:t>
      </w:r>
      <w:r>
        <w:t xml:space="preserve">.</w:t>
      </w:r>
    </w:p>
    <w:bookmarkEnd w:id="47"/>
    <w:bookmarkStart w:id="48" w:name="ref-Deslauriers2017"/>
    <w:p>
      <w:pPr>
        <w:pStyle w:val="Bibliography"/>
      </w:pPr>
      <w:r>
        <w:t xml:space="preserve">Deslauriers, D., S. R. Chipps, J. E. Breck, J. A. Rice, and C. P. Madenjian. 2017. Fish</w:t>
      </w:r>
      <w:r>
        <w:t xml:space="preserve"> </w:t>
      </w:r>
      <w:r>
        <w:t xml:space="preserve">Bioenergetics</w:t>
      </w:r>
      <w:r>
        <w:t xml:space="preserve"> </w:t>
      </w:r>
      <w:r>
        <w:t xml:space="preserve">4.0: An</w:t>
      </w:r>
      <w:r>
        <w:t xml:space="preserve"> </w:t>
      </w:r>
      <w:r>
        <w:t xml:space="preserve">R</w:t>
      </w:r>
      <w:r>
        <w:t xml:space="preserve">-</w:t>
      </w:r>
      <w:r>
        <w:t xml:space="preserve">Based Modeling Application</w:t>
      </w:r>
      <w:r>
        <w:t xml:space="preserve">. Fisheries 42(11):586–596.</w:t>
      </w:r>
    </w:p>
    <w:bookmarkEnd w:id="48"/>
    <w:bookmarkStart w:id="49"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9"/>
    <w:bookmarkStart w:id="50" w:name="ref-Erhardt2018"/>
    <w:p>
      <w:pPr>
        <w:pStyle w:val="Bibliography"/>
      </w:pPr>
      <w:r>
        <w:t xml:space="preserve">Erhardt, J. M., K. F. Tiffan, and W. P. Connor. 2018. Juvenile</w:t>
      </w:r>
      <w:r>
        <w:t xml:space="preserve"> </w:t>
      </w:r>
      <w:r>
        <w:t xml:space="preserve">Chinook Salmon Mortality</w:t>
      </w:r>
      <w:r>
        <w:t xml:space="preserve"> </w:t>
      </w:r>
      <w:r>
        <w:t xml:space="preserve">in a</w:t>
      </w:r>
      <w:r>
        <w:t xml:space="preserve"> </w:t>
      </w:r>
      <w:r>
        <w:t xml:space="preserve">Snake River Reservoir</w:t>
      </w:r>
      <w:r>
        <w:t xml:space="preserve">: Smallmouth</w:t>
      </w:r>
      <w:r>
        <w:t xml:space="preserve"> </w:t>
      </w:r>
      <w:r>
        <w:t xml:space="preserve">Bass Predation Revisited</w:t>
      </w:r>
      <w:r>
        <w:t xml:space="preserve">. Transactions of the American Fisheries Society 147(2):316–328.</w:t>
      </w:r>
    </w:p>
    <w:bookmarkEnd w:id="50"/>
    <w:bookmarkStart w:id="51"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51"/>
    <w:bookmarkStart w:id="52"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52"/>
    <w:bookmarkStart w:id="53"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3"/>
    <w:bookmarkStart w:id="54"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4"/>
    <w:bookmarkStart w:id="55" w:name="ref-Knutsen1999"/>
    <w:p>
      <w:pPr>
        <w:pStyle w:val="Bibliography"/>
      </w:pPr>
      <w:r>
        <w:t xml:space="preserve">Knutsen, C. J., and D. L. Ward. 1999. Biological</w:t>
      </w:r>
      <w:r>
        <w:t xml:space="preserve"> </w:t>
      </w:r>
      <w:r>
        <w:t xml:space="preserve">Characteristics</w:t>
      </w:r>
      <w:r>
        <w:t xml:space="preserve"> </w:t>
      </w:r>
      <w:r>
        <w:t xml:space="preserve">of</w:t>
      </w:r>
      <w:r>
        <w:t xml:space="preserve"> </w:t>
      </w:r>
      <w:r>
        <w:t xml:space="preserve">Northern Pikeminnow</w:t>
      </w:r>
      <w:r>
        <w:t xml:space="preserve"> </w:t>
      </w:r>
      <w:r>
        <w:t xml:space="preserve">in the</w:t>
      </w:r>
      <w:r>
        <w:t xml:space="preserve"> </w:t>
      </w:r>
      <w:r>
        <w:t xml:space="preserve">Lower Columbia</w:t>
      </w:r>
      <w:r>
        <w:t xml:space="preserve"> </w:t>
      </w:r>
      <w:r>
        <w:t xml:space="preserve">and</w:t>
      </w:r>
      <w:r>
        <w:t xml:space="preserve"> </w:t>
      </w:r>
      <w:r>
        <w:t xml:space="preserve">Snake Rivers</w:t>
      </w:r>
      <w:r>
        <w:t xml:space="preserve"> </w:t>
      </w:r>
      <w:r>
        <w:t xml:space="preserve">before and after</w:t>
      </w:r>
      <w:r>
        <w:t xml:space="preserve"> </w:t>
      </w:r>
      <w:r>
        <w:t xml:space="preserve">Sustained Exploitation</w:t>
      </w:r>
      <w:r>
        <w:t xml:space="preserve">. Transactions of the American Fisheries Society 128(6):1008–1019.</w:t>
      </w:r>
    </w:p>
    <w:bookmarkEnd w:id="55"/>
    <w:bookmarkStart w:id="56" w:name="ref-Lott2020"/>
    <w:p>
      <w:pPr>
        <w:pStyle w:val="Bibliography"/>
      </w:pPr>
      <w:r>
        <w:t xml:space="preserve">Lott, B., K. See, M. W. Ackerman, and N. Porter. 2020. Deadwater</w:t>
      </w:r>
      <w:r>
        <w:t xml:space="preserve"> </w:t>
      </w:r>
      <w:r>
        <w:t xml:space="preserve">Predator Assessment</w:t>
      </w:r>
      <w:r>
        <w:t xml:space="preserve">. Technical Report Prepared for Bureau of Reclamation, Department of Interior.</w:t>
      </w:r>
    </w:p>
    <w:bookmarkEnd w:id="56"/>
    <w:bookmarkStart w:id="57"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7"/>
    <w:bookmarkStart w:id="58" w:name="ref-Moss2016"/>
    <w:p>
      <w:pPr>
        <w:pStyle w:val="Bibliography"/>
      </w:pPr>
      <w:r>
        <w:t xml:space="preserve">Moss, J. H., J. M. Murphy, E. A. Fergusson, and R. A. Heintz. 2016. Energy dynamics and growth of juvenile</w:t>
      </w:r>
      <w:r>
        <w:t xml:space="preserve"> </w:t>
      </w:r>
      <w:r>
        <w:t xml:space="preserve">Chinook</w:t>
      </w:r>
      <w:r>
        <w:t xml:space="preserve"> </w:t>
      </w:r>
      <w:r>
        <w:t xml:space="preserve">(</w:t>
      </w:r>
      <w:r>
        <w:t xml:space="preserve"> </w:t>
      </w:r>
      <w:r>
        <w:t xml:space="preserve"> </w:t>
      </w:r>
      <w:r>
        <w:rPr>
          <w:iCs/>
          <w:i/>
        </w:rPr>
        <w:t xml:space="preserve">Oncorhynchus</w:t>
      </w:r>
      <w:r>
        <w:t xml:space="preserve"> </w:t>
      </w:r>
      <w:r>
        <w:rPr>
          <w:iCs/>
          <w:i/>
        </w:rPr>
        <w:t xml:space="preserve">Tshawytscha</w:t>
      </w:r>
      <w:r>
        <w:t xml:space="preserve"> </w:t>
      </w:r>
      <w:r>
        <w:t xml:space="preserve">) and chum (</w:t>
      </w:r>
      <w:r>
        <w:t xml:space="preserve"> </w:t>
      </w:r>
      <w:r>
        <w:t xml:space="preserve"> </w:t>
      </w:r>
      <w:r>
        <w:rPr>
          <w:iCs/>
          <w:i/>
        </w:rPr>
        <w:t xml:space="preserve">O</w:t>
      </w:r>
      <w:r>
        <w:rPr>
          <w:iCs/>
          <w:i/>
        </w:rPr>
        <w:t xml:space="preserve">. Keta</w:t>
      </w:r>
      <w:r>
        <w:t xml:space="preserve"> </w:t>
      </w:r>
      <w:r>
        <w:t xml:space="preserve">) salmon in the eastern</w:t>
      </w:r>
      <w:r>
        <w:t xml:space="preserve"> </w:t>
      </w:r>
      <w:r>
        <w:t xml:space="preserve">Gulf</w:t>
      </w:r>
      <w:r>
        <w:t xml:space="preserve"> </w:t>
      </w:r>
      <w:r>
        <w:t xml:space="preserve">of</w:t>
      </w:r>
      <w:r>
        <w:t xml:space="preserve"> </w:t>
      </w:r>
      <w:r>
        <w:t xml:space="preserve">Alaska</w:t>
      </w:r>
      <w:r>
        <w:t xml:space="preserve"> </w:t>
      </w:r>
      <w:r>
        <w:t xml:space="preserve">and northern</w:t>
      </w:r>
      <w:r>
        <w:t xml:space="preserve"> </w:t>
      </w:r>
      <w:r>
        <w:t xml:space="preserve">Bering Sea</w:t>
      </w:r>
      <w:r>
        <w:t xml:space="preserve">. North Pacific Anadromous Fish Commission Bulletin No. 6:161–168.</w:t>
      </w:r>
    </w:p>
    <w:bookmarkEnd w:id="58"/>
    <w:bookmarkStart w:id="59"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9"/>
    <w:bookmarkStart w:id="60" w:name="ref-Ogle2021"/>
    <w:p>
      <w:pPr>
        <w:pStyle w:val="Bibliography"/>
      </w:pPr>
      <w:r>
        <w:t xml:space="preserve">Ogle, D. H., J. C. Doll, P. Wheeler, and A. Dinno. 2021.</w:t>
      </w:r>
      <w:r>
        <w:t xml:space="preserve"> </w:t>
      </w:r>
      <w:r>
        <w:t xml:space="preserve">FSA</w:t>
      </w:r>
      <w:r>
        <w:t xml:space="preserve">: Fisheries</w:t>
      </w:r>
      <w:r>
        <w:t xml:space="preserve"> </w:t>
      </w:r>
      <w:r>
        <w:t xml:space="preserve">Stock Analysis</w:t>
      </w:r>
      <w:r>
        <w:t xml:space="preserve">.</w:t>
      </w:r>
      <w:r>
        <w:t xml:space="preserve"> </w:t>
      </w:r>
      <w:r>
        <w:t xml:space="preserve">R</w:t>
      </w:r>
      <w:r>
        <w:t xml:space="preserve"> </w:t>
      </w:r>
      <w:r>
        <w:t xml:space="preserve">package version 0.9.1.</w:t>
      </w:r>
    </w:p>
    <w:bookmarkEnd w:id="60"/>
    <w:bookmarkStart w:id="61" w:name="ref-Parker1995"/>
    <w:p>
      <w:pPr>
        <w:pStyle w:val="Bibliography"/>
      </w:pPr>
      <w:r>
        <w:t xml:space="preserve">Parker, R. M., M. P. Zimmerman, and D. L. Ward. 1995. Variability in biological characteristics of northern pikeminnow in the</w:t>
      </w:r>
      <w:r>
        <w:t xml:space="preserve"> </w:t>
      </w:r>
      <w:r>
        <w:t xml:space="preserve">Lower Columbia</w:t>
      </w:r>
      <w:r>
        <w:t xml:space="preserve"> </w:t>
      </w:r>
      <w:r>
        <w:t xml:space="preserve">and</w:t>
      </w:r>
      <w:r>
        <w:t xml:space="preserve"> </w:t>
      </w:r>
      <w:r>
        <w:t xml:space="preserve">Snake</w:t>
      </w:r>
      <w:r>
        <w:t xml:space="preserve"> </w:t>
      </w:r>
      <w:r>
        <w:t xml:space="preserve">rivers. Transactions of the American Fisheries Society 124:335–346.</w:t>
      </w:r>
    </w:p>
    <w:bookmarkEnd w:id="61"/>
    <w:bookmarkStart w:id="62" w:name="ref-Petersen1994"/>
    <w:p>
      <w:pPr>
        <w:pStyle w:val="Bibliography"/>
      </w:pPr>
      <w:r>
        <w:t xml:space="preserve">Petersen, J. H. 1994. Importance of sptial pattern in estimating predation on juvenile salmonids in the</w:t>
      </w:r>
      <w:r>
        <w:t xml:space="preserve"> </w:t>
      </w:r>
      <w:r>
        <w:t xml:space="preserve">Columbia River</w:t>
      </w:r>
      <w:r>
        <w:t xml:space="preserve">. Transactions of the American Fisheries Society 123:924–930.</w:t>
      </w:r>
    </w:p>
    <w:bookmarkEnd w:id="62"/>
    <w:bookmarkStart w:id="63"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63"/>
    <w:bookmarkStart w:id="64" w:name="ref-Venditti2000"/>
    <w:p>
      <w:pPr>
        <w:pStyle w:val="Bibliography"/>
      </w:pPr>
      <w:r>
        <w:t xml:space="preserve">Venditti, D. A., D. W. Rondorf, and J. M. Kraut. 2000. Migratory behavior, and forebay delay of radio-tagged juvenile fall chinook salmon in a lower</w:t>
      </w:r>
      <w:r>
        <w:t xml:space="preserve"> </w:t>
      </w:r>
      <w:r>
        <w:t xml:space="preserve">Snake River</w:t>
      </w:r>
      <w:r>
        <w:t xml:space="preserve"> </w:t>
      </w:r>
      <w:r>
        <w:t xml:space="preserve">impoundment. North American Journal of Fisheries Management 20:41–52.</w:t>
      </w:r>
    </w:p>
    <w:bookmarkEnd w:id="64"/>
    <w:bookmarkStart w:id="65" w:name="ref-Ward1995"/>
    <w:p>
      <w:pPr>
        <w:pStyle w:val="Bibliography"/>
      </w:pPr>
      <w:r>
        <w:t xml:space="preserve">Ward, D. L., J. H. Petersen, and J. J. Loch. 1995. Index of predation on juvenile salmonids by northern pikeminnow in the lower and middle</w:t>
      </w:r>
      <w:r>
        <w:t xml:space="preserve"> </w:t>
      </w:r>
      <w:r>
        <w:t xml:space="preserve">Columbia River</w:t>
      </w:r>
      <w:r>
        <w:t xml:space="preserve">, and in the lower</w:t>
      </w:r>
      <w:r>
        <w:t xml:space="preserve"> </w:t>
      </w:r>
      <w:r>
        <w:t xml:space="preserve">Snake River</w:t>
      </w:r>
      <w:r>
        <w:t xml:space="preserve">. Transactions of the American Fisheries Society 124:321–334.</w:t>
      </w:r>
    </w:p>
    <w:bookmarkEnd w:id="65"/>
    <w:bookmarkStart w:id="66" w:name="ref-Watkins2015"/>
    <w:p>
      <w:pPr>
        <w:pStyle w:val="Bibliography"/>
      </w:pPr>
      <w:r>
        <w:t xml:space="preserve">Watkins, C. J., B. S. Stevens, M. C. Quist, B. B. Shepard, and S. C. Ireland. 2015. Patterns of</w:t>
      </w:r>
      <w:r>
        <w:t xml:space="preserve"> </w:t>
      </w:r>
      <w:r>
        <w:t xml:space="preserve">Fish Assemblage Structure</w:t>
      </w:r>
      <w:r>
        <w:t xml:space="preserve"> </w:t>
      </w:r>
      <w:r>
        <w:t xml:space="preserve">and</w:t>
      </w:r>
      <w:r>
        <w:t xml:space="preserve"> </w:t>
      </w:r>
      <w:r>
        <w:t xml:space="preserve">Habitat Use</w:t>
      </w:r>
      <w:r>
        <w:t xml:space="preserve"> </w:t>
      </w:r>
      <w:r>
        <w:t xml:space="preserve">among</w:t>
      </w:r>
      <w:r>
        <w:t xml:space="preserve"> </w:t>
      </w:r>
      <w:r>
        <w:t xml:space="preserve">Main</w:t>
      </w:r>
      <w:r>
        <w:t xml:space="preserve">- and</w:t>
      </w:r>
      <w:r>
        <w:t xml:space="preserve"> </w:t>
      </w:r>
      <w:r>
        <w:t xml:space="preserve">Side</w:t>
      </w:r>
      <w:r>
        <w:t xml:space="preserve">-</w:t>
      </w:r>
      <w:r>
        <w:t xml:space="preserve">Channel Environments</w:t>
      </w:r>
      <w:r>
        <w:t xml:space="preserve"> </w:t>
      </w:r>
      <w:r>
        <w:t xml:space="preserve">in the</w:t>
      </w:r>
      <w:r>
        <w:t xml:space="preserve"> </w:t>
      </w:r>
      <w:r>
        <w:t xml:space="preserve">Lower Kootenai River</w:t>
      </w:r>
      <w:r>
        <w:t xml:space="preserve">,</w:t>
      </w:r>
      <w:r>
        <w:t xml:space="preserve"> </w:t>
      </w:r>
      <w:r>
        <w:t xml:space="preserve">Idaho</w:t>
      </w:r>
      <w:r>
        <w:t xml:space="preserve">. Transactions of the American Fisheries Society 144(6):1340–1355.</w:t>
      </w:r>
    </w:p>
    <w:bookmarkEnd w:id="66"/>
    <w:bookmarkEnd w:id="67"/>
    <w:p>
      <w:r>
        <w:br w:type="page"/>
      </w:r>
    </w:p>
    <w:bookmarkEnd w:id="68"/>
    <w:bookmarkStart w:id="70" w:name="tables"/>
    <w:p>
      <w:pPr>
        <w:pStyle w:val="Heading1"/>
      </w:pPr>
      <w:r>
        <w:t xml:space="preserve">Tables</w:t>
      </w:r>
    </w:p>
    <w:bookmarkStart w:id="69" w:name="tables"/>
    <w:bookmarkEnd w:id="69"/>
    <w:p>
      <w:pPr>
        <w:pStyle w:val="TableCaption"/>
      </w:pPr>
      <w:r>
        <w:t xml:space="preserve">Table 1: Data summary for single census estimators. M is the number of fish caught in the first sample, marked and returned to the population. n is the number of fish caught in the second sample, and m is the number of marked fish caught in the second sample.</w:t>
      </w:r>
    </w:p>
    <w:tbl>
      <w:tblPr>
        <w:tblStyle w:val="Table"/>
        <w:tblW w:type="auto" w:w="0"/>
        <w:tblLook w:firstRow="1" w:lastRow="0" w:firstColumn="0" w:lastColumn="0" w:noHBand="0" w:noVBand="0" w:val="0020"/>
        <w:tblCaption w:val="Table 1: Data summary for single census estimators. M is the number of fish caught in the first sample, marked and returned to the population. n is the number of fish caught in the second sample, and m is the number of marked fish caught in the second sample."/>
      </w:tblPr>
      <w:tblGrid>
        <w:gridCol w:w="1584"/>
        <w:gridCol w:w="1584"/>
        <w:gridCol w:w="1584"/>
        <w:gridCol w:w="1584"/>
        <w:gridCol w:w="1584"/>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right"/>
            </w:pPr>
            <w:r>
              <w:t xml:space="preserve">M</w:t>
            </w:r>
          </w:p>
        </w:tc>
        <w:tc>
          <w:tcPr/>
          <w:p>
            <w:pPr>
              <w:pStyle w:val="Compact"/>
              <w:jc w:val="right"/>
            </w:pPr>
            <w:r>
              <w:t xml:space="preserve">n</w:t>
            </w:r>
          </w:p>
        </w:tc>
        <w:tc>
          <w:tcPr/>
          <w:p>
            <w:pPr>
              <w:pStyle w:val="Compact"/>
              <w:jc w:val="right"/>
            </w:pPr>
            <w:r>
              <w:t xml:space="preserve">m</w:t>
            </w:r>
          </w:p>
        </w:tc>
      </w:tr>
      <w:tr>
        <w:tc>
          <w:tcPr/>
          <w:p>
            <w:pPr>
              <w:pStyle w:val="Compact"/>
              <w:jc w:val="left"/>
            </w:pPr>
            <w:r>
              <w:t xml:space="preserve">Fall 2019</w:t>
            </w:r>
          </w:p>
        </w:tc>
        <w:tc>
          <w:tcPr/>
          <w:p>
            <w:pPr>
              <w:pStyle w:val="Compact"/>
              <w:jc w:val="left"/>
            </w:pPr>
            <w:r>
              <w:t xml:space="preserve">Northern Pikeminnow</w:t>
            </w:r>
          </w:p>
        </w:tc>
        <w:tc>
          <w:tcPr/>
          <w:p>
            <w:pPr>
              <w:pStyle w:val="Compact"/>
              <w:jc w:val="right"/>
            </w:pPr>
            <w:r>
              <w:t xml:space="preserve">267</w:t>
            </w:r>
          </w:p>
        </w:tc>
        <w:tc>
          <w:tcPr/>
          <w:p>
            <w:pPr>
              <w:pStyle w:val="Compact"/>
              <w:jc w:val="right"/>
            </w:pPr>
            <w:r>
              <w:t xml:space="preserve">396</w:t>
            </w:r>
          </w:p>
        </w:tc>
        <w:tc>
          <w:tcPr/>
          <w:p>
            <w:pPr>
              <w:pStyle w:val="Compact"/>
              <w:jc w:val="right"/>
            </w:pPr>
            <w:r>
              <w:t xml:space="preserve">7</w:t>
            </w:r>
          </w:p>
        </w:tc>
      </w:tr>
      <w:tr>
        <w:tc>
          <w:tcPr/>
          <w:p>
            <w:pPr>
              <w:pStyle w:val="Compact"/>
              <w:jc w:val="left"/>
            </w:pPr>
            <w:r>
              <w:t xml:space="preserve">Fall 2020</w:t>
            </w:r>
          </w:p>
        </w:tc>
        <w:tc>
          <w:tcPr/>
          <w:p>
            <w:pPr>
              <w:pStyle w:val="Compact"/>
              <w:jc w:val="left"/>
            </w:pPr>
            <w:r>
              <w:t xml:space="preserve">Northern Pikeminnow</w:t>
            </w:r>
          </w:p>
        </w:tc>
        <w:tc>
          <w:tcPr/>
          <w:p>
            <w:pPr>
              <w:pStyle w:val="Compact"/>
              <w:jc w:val="right"/>
            </w:pPr>
            <w:r>
              <w:t xml:space="preserve">500</w:t>
            </w:r>
          </w:p>
        </w:tc>
        <w:tc>
          <w:tcPr/>
          <w:p>
            <w:pPr>
              <w:pStyle w:val="Compact"/>
              <w:jc w:val="right"/>
            </w:pPr>
            <w:r>
              <w:t xml:space="preserve">297</w:t>
            </w:r>
          </w:p>
        </w:tc>
        <w:tc>
          <w:tcPr/>
          <w:p>
            <w:pPr>
              <w:pStyle w:val="Compact"/>
              <w:jc w:val="right"/>
            </w:pPr>
            <w:r>
              <w:t xml:space="preserve">5</w:t>
            </w:r>
          </w:p>
        </w:tc>
      </w:tr>
    </w:tbl>
    <w:p>
      <w:r>
        <w:br w:type="page"/>
      </w:r>
    </w:p>
    <w:p>
      <w:pPr>
        <w:pStyle w:val="TableCaption"/>
      </w:pPr>
      <w:r>
        <w:t xml:space="preserve">Table 2: Data summary for multiple census estimators. n is number of fish caught, m is the number of marked fish caught, u is the number of unmarked fish caught, and R is the number of marked fish returned to the population.</w:t>
      </w:r>
    </w:p>
    <w:tbl>
      <w:tblPr>
        <w:tblStyle w:val="Table"/>
        <w:tblW w:type="auto" w:w="0"/>
        <w:tblLook w:firstRow="1" w:lastRow="0" w:firstColumn="0" w:lastColumn="0" w:noHBand="0" w:noVBand="0" w:val="0020"/>
        <w:tblCaption w:val="Table 2: Data summary for multiple census estimators. n is number of fish caught, m is the number of marked fish caught, u is the number of unmarked fish caught, and R is the number of marked fish returned to the population."/>
      </w:tblPr>
      <w:tblGrid>
        <w:gridCol w:w="1131"/>
        <w:gridCol w:w="1131"/>
        <w:gridCol w:w="1131"/>
        <w:gridCol w:w="1131"/>
        <w:gridCol w:w="1131"/>
        <w:gridCol w:w="1131"/>
        <w:gridCol w:w="1131"/>
      </w:tblGrid>
      <w:tr>
        <w:trPr>
          <w:tblHeader w:val="true"/>
        </w:trPr>
        <w:tc>
          <w:tcPr/>
          <w:p>
            <w:pPr>
              <w:pStyle w:val="Compact"/>
              <w:jc w:val="left"/>
            </w:pPr>
            <w:r>
              <w:t xml:space="preserve">Sampling Event</w:t>
            </w:r>
          </w:p>
        </w:tc>
        <w:tc>
          <w:tcPr/>
          <w:p>
            <w:pPr>
              <w:pStyle w:val="Compact"/>
              <w:jc w:val="left"/>
            </w:pPr>
            <w:r>
              <w:t xml:space="preserve">Species</w:t>
            </w:r>
          </w:p>
        </w:tc>
        <w:tc>
          <w:tcPr/>
          <w:p>
            <w:pPr>
              <w:pStyle w:val="Compact"/>
              <w:jc w:val="left"/>
            </w:pPr>
            <w:r>
              <w:t xml:space="preserve">Date</w:t>
            </w:r>
          </w:p>
        </w:tc>
        <w:tc>
          <w:tcPr/>
          <w:p>
            <w:pPr>
              <w:pStyle w:val="Compact"/>
              <w:jc w:val="right"/>
            </w:pPr>
            <w:r>
              <w:t xml:space="preserve">n</w:t>
            </w:r>
          </w:p>
        </w:tc>
        <w:tc>
          <w:tcPr/>
          <w:p>
            <w:pPr>
              <w:pStyle w:val="Compact"/>
              <w:jc w:val="right"/>
            </w:pPr>
            <w:r>
              <w:t xml:space="preserve">m</w:t>
            </w:r>
          </w:p>
        </w:tc>
        <w:tc>
          <w:tcPr/>
          <w:p>
            <w:pPr>
              <w:pStyle w:val="Compact"/>
              <w:jc w:val="right"/>
            </w:pPr>
            <w:r>
              <w:t xml:space="preserve">u</w:t>
            </w:r>
          </w:p>
        </w:tc>
        <w:tc>
          <w:tcPr/>
          <w:p>
            <w:pPr>
              <w:pStyle w:val="Compact"/>
              <w:jc w:val="right"/>
            </w:pPr>
            <w:r>
              <w:t xml:space="preserve">R</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2019-11-12</w:t>
            </w:r>
          </w:p>
        </w:tc>
        <w:tc>
          <w:tcPr/>
          <w:p>
            <w:pPr>
              <w:pStyle w:val="Compact"/>
              <w:jc w:val="right"/>
            </w:pPr>
            <w:r>
              <w:t xml:space="preserve">29</w:t>
            </w:r>
          </w:p>
        </w:tc>
        <w:tc>
          <w:tcPr/>
          <w:p>
            <w:pPr>
              <w:pStyle w:val="Compact"/>
              <w:jc w:val="right"/>
            </w:pPr>
            <w:r>
              <w:t xml:space="preserve">0</w:t>
            </w:r>
          </w:p>
        </w:tc>
        <w:tc>
          <w:tcPr/>
          <w:p>
            <w:pPr>
              <w:pStyle w:val="Compact"/>
              <w:jc w:val="right"/>
            </w:pPr>
            <w:r>
              <w:t xml:space="preserve">29</w:t>
            </w:r>
          </w:p>
        </w:tc>
        <w:tc>
          <w:tcPr/>
          <w:p>
            <w:pPr>
              <w:pStyle w:val="Compact"/>
              <w:jc w:val="right"/>
            </w:pPr>
            <w:r>
              <w:t xml:space="preserve">28</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2019-11-13</w:t>
            </w:r>
          </w:p>
        </w:tc>
        <w:tc>
          <w:tcPr/>
          <w:p>
            <w:pPr>
              <w:pStyle w:val="Compact"/>
              <w:jc w:val="right"/>
            </w:pPr>
            <w:r>
              <w:t xml:space="preserve">146</w:t>
            </w:r>
          </w:p>
        </w:tc>
        <w:tc>
          <w:tcPr/>
          <w:p>
            <w:pPr>
              <w:pStyle w:val="Compact"/>
              <w:jc w:val="right"/>
            </w:pPr>
            <w:r>
              <w:t xml:space="preserve">0</w:t>
            </w:r>
          </w:p>
        </w:tc>
        <w:tc>
          <w:tcPr/>
          <w:p>
            <w:pPr>
              <w:pStyle w:val="Compact"/>
              <w:jc w:val="right"/>
            </w:pPr>
            <w:r>
              <w:t xml:space="preserve">146</w:t>
            </w:r>
          </w:p>
        </w:tc>
        <w:tc>
          <w:tcPr/>
          <w:p>
            <w:pPr>
              <w:pStyle w:val="Compact"/>
              <w:jc w:val="right"/>
            </w:pPr>
            <w:r>
              <w:t xml:space="preserve">146</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2019-11-14</w:t>
            </w:r>
          </w:p>
        </w:tc>
        <w:tc>
          <w:tcPr/>
          <w:p>
            <w:pPr>
              <w:pStyle w:val="Compact"/>
              <w:jc w:val="right"/>
            </w:pPr>
            <w:r>
              <w:t xml:space="preserve">93</w:t>
            </w:r>
          </w:p>
        </w:tc>
        <w:tc>
          <w:tcPr/>
          <w:p>
            <w:pPr>
              <w:pStyle w:val="Compact"/>
              <w:jc w:val="right"/>
            </w:pPr>
            <w:r>
              <w:t xml:space="preserve">1</w:t>
            </w:r>
          </w:p>
        </w:tc>
        <w:tc>
          <w:tcPr/>
          <w:p>
            <w:pPr>
              <w:pStyle w:val="Compact"/>
              <w:jc w:val="right"/>
            </w:pPr>
            <w:r>
              <w:t xml:space="preserve">92</w:t>
            </w:r>
          </w:p>
        </w:tc>
        <w:tc>
          <w:tcPr/>
          <w:p>
            <w:pPr>
              <w:pStyle w:val="Compact"/>
              <w:jc w:val="right"/>
            </w:pPr>
            <w:r>
              <w:t xml:space="preserve">93</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2019-11-19</w:t>
            </w:r>
          </w:p>
        </w:tc>
        <w:tc>
          <w:tcPr/>
          <w:p>
            <w:pPr>
              <w:pStyle w:val="Compact"/>
              <w:jc w:val="right"/>
            </w:pPr>
            <w:r>
              <w:t xml:space="preserve">149</w:t>
            </w:r>
          </w:p>
        </w:tc>
        <w:tc>
          <w:tcPr/>
          <w:p>
            <w:pPr>
              <w:pStyle w:val="Compact"/>
              <w:jc w:val="right"/>
            </w:pPr>
            <w:r>
              <w:t xml:space="preserve">2</w:t>
            </w:r>
          </w:p>
        </w:tc>
        <w:tc>
          <w:tcPr/>
          <w:p>
            <w:pPr>
              <w:pStyle w:val="Compact"/>
              <w:jc w:val="right"/>
            </w:pPr>
            <w:r>
              <w:t xml:space="preserve">147</w:t>
            </w:r>
          </w:p>
        </w:tc>
        <w:tc>
          <w:tcPr/>
          <w:p>
            <w:pPr>
              <w:pStyle w:val="Compact"/>
              <w:jc w:val="right"/>
            </w:pPr>
            <w:r>
              <w:t xml:space="preserve">132</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2019-11-20</w:t>
            </w:r>
          </w:p>
        </w:tc>
        <w:tc>
          <w:tcPr/>
          <w:p>
            <w:pPr>
              <w:pStyle w:val="Compact"/>
              <w:jc w:val="right"/>
            </w:pPr>
            <w:r>
              <w:t xml:space="preserve">104</w:t>
            </w:r>
          </w:p>
        </w:tc>
        <w:tc>
          <w:tcPr/>
          <w:p>
            <w:pPr>
              <w:pStyle w:val="Compact"/>
              <w:jc w:val="right"/>
            </w:pPr>
            <w:r>
              <w:t xml:space="preserve">1</w:t>
            </w:r>
          </w:p>
        </w:tc>
        <w:tc>
          <w:tcPr/>
          <w:p>
            <w:pPr>
              <w:pStyle w:val="Compact"/>
              <w:jc w:val="right"/>
            </w:pPr>
            <w:r>
              <w:t xml:space="preserve">103</w:t>
            </w:r>
          </w:p>
        </w:tc>
        <w:tc>
          <w:tcPr/>
          <w:p>
            <w:pPr>
              <w:pStyle w:val="Compact"/>
              <w:jc w:val="right"/>
            </w:pPr>
            <w:r>
              <w:t xml:space="preserve">77</w:t>
            </w:r>
          </w:p>
        </w:tc>
      </w:tr>
      <w:tr>
        <w:tc>
          <w:tcPr/>
          <w:p>
            <w:pPr>
              <w:pStyle w:val="Compact"/>
              <w:jc w:val="left"/>
            </w:pPr>
            <w:r>
              <w:t xml:space="preserve">Fall 2019</w:t>
            </w:r>
          </w:p>
        </w:tc>
        <w:tc>
          <w:tcPr/>
          <w:p>
            <w:pPr>
              <w:pStyle w:val="Compact"/>
              <w:jc w:val="left"/>
            </w:pPr>
            <w:r>
              <w:t xml:space="preserve">Northern Pikeminnow</w:t>
            </w:r>
          </w:p>
        </w:tc>
        <w:tc>
          <w:tcPr/>
          <w:p>
            <w:pPr>
              <w:pStyle w:val="Compact"/>
              <w:jc w:val="left"/>
            </w:pPr>
            <w:r>
              <w:t xml:space="preserve">2019-11-21</w:t>
            </w:r>
          </w:p>
        </w:tc>
        <w:tc>
          <w:tcPr/>
          <w:p>
            <w:pPr>
              <w:pStyle w:val="Compact"/>
              <w:jc w:val="right"/>
            </w:pPr>
            <w:r>
              <w:t xml:space="preserve">143</w:t>
            </w:r>
          </w:p>
        </w:tc>
        <w:tc>
          <w:tcPr/>
          <w:p>
            <w:pPr>
              <w:pStyle w:val="Compact"/>
              <w:jc w:val="right"/>
            </w:pPr>
            <w:r>
              <w:t xml:space="preserve">4</w:t>
            </w:r>
          </w:p>
        </w:tc>
        <w:tc>
          <w:tcPr/>
          <w:p>
            <w:pPr>
              <w:pStyle w:val="Compact"/>
              <w:jc w:val="right"/>
            </w:pPr>
            <w:r>
              <w:t xml:space="preserve">139</w:t>
            </w:r>
          </w:p>
        </w:tc>
        <w:tc>
          <w:tcPr/>
          <w:p>
            <w:pPr>
              <w:pStyle w:val="Compact"/>
              <w:jc w:val="right"/>
            </w:pPr>
            <w:r>
              <w:t xml:space="preserve">118</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2020-10-20</w:t>
            </w:r>
          </w:p>
        </w:tc>
        <w:tc>
          <w:tcPr/>
          <w:p>
            <w:pPr>
              <w:pStyle w:val="Compact"/>
              <w:jc w:val="right"/>
            </w:pPr>
            <w:r>
              <w:t xml:space="preserve">173</w:t>
            </w:r>
          </w:p>
        </w:tc>
        <w:tc>
          <w:tcPr/>
          <w:p>
            <w:pPr>
              <w:pStyle w:val="Compact"/>
              <w:jc w:val="right"/>
            </w:pPr>
            <w:r>
              <w:t xml:space="preserve">0</w:t>
            </w:r>
          </w:p>
        </w:tc>
        <w:tc>
          <w:tcPr/>
          <w:p>
            <w:pPr>
              <w:pStyle w:val="Compact"/>
              <w:jc w:val="right"/>
            </w:pPr>
            <w:r>
              <w:t xml:space="preserve">173</w:t>
            </w:r>
          </w:p>
        </w:tc>
        <w:tc>
          <w:tcPr/>
          <w:p>
            <w:pPr>
              <w:pStyle w:val="Compact"/>
              <w:jc w:val="right"/>
            </w:pPr>
            <w:r>
              <w:t xml:space="preserve">170</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2020-10-21</w:t>
            </w:r>
          </w:p>
        </w:tc>
        <w:tc>
          <w:tcPr/>
          <w:p>
            <w:pPr>
              <w:pStyle w:val="Compact"/>
              <w:jc w:val="right"/>
            </w:pPr>
            <w:r>
              <w:t xml:space="preserve">188</w:t>
            </w:r>
          </w:p>
        </w:tc>
        <w:tc>
          <w:tcPr/>
          <w:p>
            <w:pPr>
              <w:pStyle w:val="Compact"/>
              <w:jc w:val="right"/>
            </w:pPr>
            <w:r>
              <w:t xml:space="preserve">1</w:t>
            </w:r>
          </w:p>
        </w:tc>
        <w:tc>
          <w:tcPr/>
          <w:p>
            <w:pPr>
              <w:pStyle w:val="Compact"/>
              <w:jc w:val="right"/>
            </w:pPr>
            <w:r>
              <w:t xml:space="preserve">187</w:t>
            </w:r>
          </w:p>
        </w:tc>
        <w:tc>
          <w:tcPr/>
          <w:p>
            <w:pPr>
              <w:pStyle w:val="Compact"/>
              <w:jc w:val="right"/>
            </w:pPr>
            <w:r>
              <w:t xml:space="preserve">187</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2020-10-22</w:t>
            </w:r>
          </w:p>
        </w:tc>
        <w:tc>
          <w:tcPr/>
          <w:p>
            <w:pPr>
              <w:pStyle w:val="Compact"/>
              <w:jc w:val="right"/>
            </w:pPr>
            <w:r>
              <w:t xml:space="preserve">104</w:t>
            </w:r>
          </w:p>
        </w:tc>
        <w:tc>
          <w:tcPr/>
          <w:p>
            <w:pPr>
              <w:pStyle w:val="Compact"/>
              <w:jc w:val="right"/>
            </w:pPr>
            <w:r>
              <w:t xml:space="preserve">0</w:t>
            </w:r>
          </w:p>
        </w:tc>
        <w:tc>
          <w:tcPr/>
          <w:p>
            <w:pPr>
              <w:pStyle w:val="Compact"/>
              <w:jc w:val="right"/>
            </w:pPr>
            <w:r>
              <w:t xml:space="preserve">104</w:t>
            </w:r>
          </w:p>
        </w:tc>
        <w:tc>
          <w:tcPr/>
          <w:p>
            <w:pPr>
              <w:pStyle w:val="Compact"/>
              <w:jc w:val="right"/>
            </w:pPr>
            <w:r>
              <w:t xml:space="preserve">102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2020-10-23</w:t>
            </w:r>
          </w:p>
        </w:tc>
        <w:tc>
          <w:tcPr/>
          <w:p>
            <w:pPr>
              <w:pStyle w:val="Compact"/>
              <w:jc w:val="right"/>
            </w:pPr>
            <w:r>
              <w:t xml:space="preserve">41</w:t>
            </w:r>
          </w:p>
        </w:tc>
        <w:tc>
          <w:tcPr/>
          <w:p>
            <w:pPr>
              <w:pStyle w:val="Compact"/>
              <w:jc w:val="right"/>
            </w:pPr>
            <w:r>
              <w:t xml:space="preserve">0</w:t>
            </w:r>
          </w:p>
        </w:tc>
        <w:tc>
          <w:tcPr/>
          <w:p>
            <w:pPr>
              <w:pStyle w:val="Compact"/>
              <w:jc w:val="right"/>
            </w:pPr>
            <w:r>
              <w:t xml:space="preserve">41</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2020-10-27</w:t>
            </w:r>
          </w:p>
        </w:tc>
        <w:tc>
          <w:tcPr/>
          <w:p>
            <w:pPr>
              <w:pStyle w:val="Compact"/>
              <w:jc w:val="right"/>
            </w:pPr>
            <w:r>
              <w:t xml:space="preserve">42</w:t>
            </w:r>
          </w:p>
        </w:tc>
        <w:tc>
          <w:tcPr/>
          <w:p>
            <w:pPr>
              <w:pStyle w:val="Compact"/>
              <w:jc w:val="right"/>
            </w:pPr>
            <w:r>
              <w:t xml:space="preserve">0</w:t>
            </w:r>
          </w:p>
        </w:tc>
        <w:tc>
          <w:tcPr/>
          <w:p>
            <w:pPr>
              <w:pStyle w:val="Compact"/>
              <w:jc w:val="right"/>
            </w:pPr>
            <w:r>
              <w:t xml:space="preserve">42</w:t>
            </w:r>
          </w:p>
        </w:tc>
        <w:tc>
          <w:tcPr/>
          <w:p>
            <w:pPr>
              <w:pStyle w:val="Compact"/>
              <w:jc w:val="right"/>
            </w:pPr>
            <w:r>
              <w:t xml:space="preserve">41</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2020-10-28</w:t>
            </w:r>
          </w:p>
        </w:tc>
        <w:tc>
          <w:tcPr/>
          <w:p>
            <w:pPr>
              <w:pStyle w:val="Compact"/>
              <w:jc w:val="right"/>
            </w:pPr>
            <w:r>
              <w:t xml:space="preserve">47</w:t>
            </w:r>
          </w:p>
        </w:tc>
        <w:tc>
          <w:tcPr/>
          <w:p>
            <w:pPr>
              <w:pStyle w:val="Compact"/>
              <w:jc w:val="right"/>
            </w:pPr>
            <w:r>
              <w:t xml:space="preserve">1</w:t>
            </w:r>
          </w:p>
        </w:tc>
        <w:tc>
          <w:tcPr/>
          <w:p>
            <w:pPr>
              <w:pStyle w:val="Compact"/>
              <w:jc w:val="right"/>
            </w:pPr>
            <w:r>
              <w:t xml:space="preserve">46</w:t>
            </w:r>
          </w:p>
        </w:tc>
        <w:tc>
          <w:tcPr/>
          <w:p>
            <w:pPr>
              <w:pStyle w:val="Compact"/>
              <w:jc w:val="right"/>
            </w:pPr>
            <w:r>
              <w:t xml:space="preserve">46</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2020-10-29</w:t>
            </w:r>
          </w:p>
        </w:tc>
        <w:tc>
          <w:tcPr/>
          <w:p>
            <w:pPr>
              <w:pStyle w:val="Compact"/>
              <w:jc w:val="right"/>
            </w:pPr>
            <w:r>
              <w:t xml:space="preserve">163</w:t>
            </w:r>
          </w:p>
        </w:tc>
        <w:tc>
          <w:tcPr/>
          <w:p>
            <w:pPr>
              <w:pStyle w:val="Compact"/>
              <w:jc w:val="right"/>
            </w:pPr>
            <w:r>
              <w:t xml:space="preserve">4</w:t>
            </w:r>
          </w:p>
        </w:tc>
        <w:tc>
          <w:tcPr/>
          <w:p>
            <w:pPr>
              <w:pStyle w:val="Compact"/>
              <w:jc w:val="right"/>
            </w:pPr>
            <w:r>
              <w:t xml:space="preserve">159</w:t>
            </w:r>
          </w:p>
        </w:tc>
        <w:tc>
          <w:tcPr/>
          <w:p>
            <w:pPr>
              <w:pStyle w:val="Compact"/>
              <w:jc w:val="right"/>
            </w:pPr>
            <w:r>
              <w:t xml:space="preserve">162</w:t>
            </w:r>
          </w:p>
        </w:tc>
      </w:tr>
      <w:tr>
        <w:tc>
          <w:tcPr/>
          <w:p>
            <w:pPr>
              <w:pStyle w:val="Compact"/>
              <w:jc w:val="left"/>
            </w:pPr>
            <w:r>
              <w:t xml:space="preserve">Fall 2020</w:t>
            </w:r>
          </w:p>
        </w:tc>
        <w:tc>
          <w:tcPr/>
          <w:p>
            <w:pPr>
              <w:pStyle w:val="Compact"/>
              <w:jc w:val="left"/>
            </w:pPr>
            <w:r>
              <w:t xml:space="preserve">Northern Pikeminnow</w:t>
            </w:r>
          </w:p>
        </w:tc>
        <w:tc>
          <w:tcPr/>
          <w:p>
            <w:pPr>
              <w:pStyle w:val="Compact"/>
              <w:jc w:val="left"/>
            </w:pPr>
            <w:r>
              <w:t xml:space="preserve">2020-10-30</w:t>
            </w:r>
          </w:p>
        </w:tc>
        <w:tc>
          <w:tcPr/>
          <w:p>
            <w:pPr>
              <w:pStyle w:val="Compact"/>
              <w:jc w:val="right"/>
            </w:pPr>
            <w:r>
              <w:t xml:space="preserve">45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45</w:t>
            </w:r>
          </w:p>
        </w:tc>
      </w:tr>
    </w:tbl>
    <w:p>
      <w:r>
        <w:br w:type="page"/>
      </w:r>
    </w:p>
    <w:p>
      <w:pPr>
        <w:pStyle w:val="TableCaption"/>
      </w:pPr>
      <w:r>
        <w:t xml:space="preserve">Table 3: Temporary caption.</w:t>
      </w:r>
    </w:p>
    <w:tbl>
      <w:tblPr>
        <w:tblStyle w:val="Table"/>
        <w:tblW w:type="auto" w:w="0"/>
        <w:tblLook w:firstRow="1" w:lastRow="0" w:firstColumn="0" w:lastColumn="0" w:noHBand="0" w:noVBand="0" w:val="0020"/>
        <w:tblCaption w:val="Table 3: Temporary caption."/>
      </w:tblPr>
      <w:tblGrid>
        <w:gridCol w:w="1320"/>
        <w:gridCol w:w="1320"/>
        <w:gridCol w:w="1320"/>
        <w:gridCol w:w="1320"/>
        <w:gridCol w:w="1320"/>
        <w:gridCol w:w="1320"/>
      </w:tblGrid>
      <w:tr>
        <w:trPr>
          <w:tblHeader w:val="true"/>
        </w:trPr>
        <w:tc>
          <w:tcPr/>
          <w:p>
            <w:pPr>
              <w:pStyle w:val="Compact"/>
              <w:jc w:val="left"/>
            </w:pPr>
            <w:r>
              <w:t xml:space="preserve">Sampling Event</w:t>
            </w:r>
          </w:p>
        </w:tc>
        <w:tc>
          <w:tcPr/>
          <w:p>
            <w:pPr>
              <w:pStyle w:val="Compact"/>
              <w:jc w:val="left"/>
            </w:pPr>
            <w:r>
              <w:t xml:space="preserve">Estimator</w:t>
            </w:r>
          </w:p>
        </w:tc>
        <w:tc>
          <w:tcPr/>
          <w:p>
            <w:pPr>
              <w:pStyle w:val="Compact"/>
              <w:jc w:val="right"/>
            </w:pPr>
            <w:r>
              <w:t xml:space="preserve">N</w:t>
            </w:r>
          </w:p>
        </w:tc>
        <w:tc>
          <w:tcPr/>
          <w:p>
            <w:pPr>
              <w:pStyle w:val="Compact"/>
              <w:jc w:val="right"/>
            </w:pPr>
            <w:r>
              <w:t xml:space="preserve">SE</w:t>
            </w:r>
          </w:p>
        </w:tc>
        <w:tc>
          <w:tcPr/>
          <w:p>
            <w:pPr>
              <w:pStyle w:val="Compact"/>
              <w:jc w:val="right"/>
            </w:pPr>
            <w:r>
              <w:t xml:space="preserve">Lci</w:t>
            </w:r>
          </w:p>
        </w:tc>
        <w:tc>
          <w:tcPr/>
          <w:p>
            <w:pPr>
              <w:pStyle w:val="Compact"/>
              <w:jc w:val="right"/>
            </w:pPr>
            <w:r>
              <w:t xml:space="preserve">Uci</w:t>
            </w:r>
          </w:p>
        </w:tc>
      </w:tr>
      <w:tr>
        <w:tc>
          <w:tcPr/>
          <w:p>
            <w:pPr>
              <w:pStyle w:val="Compact"/>
              <w:jc w:val="left"/>
            </w:pPr>
            <w:r>
              <w:t xml:space="preserve">Fall 2019</w:t>
            </w:r>
          </w:p>
        </w:tc>
        <w:tc>
          <w:tcPr/>
          <w:p>
            <w:pPr>
              <w:pStyle w:val="Compact"/>
              <w:jc w:val="left"/>
            </w:pPr>
            <w:r>
              <w:t xml:space="preserve">Chapman</w:t>
            </w:r>
          </w:p>
        </w:tc>
        <w:tc>
          <w:tcPr/>
          <w:p>
            <w:pPr>
              <w:pStyle w:val="Compact"/>
              <w:jc w:val="right"/>
            </w:pPr>
            <w:r>
              <w:t xml:space="preserve">13,298</w:t>
            </w:r>
          </w:p>
        </w:tc>
        <w:tc>
          <w:tcPr/>
          <w:p>
            <w:pPr>
              <w:pStyle w:val="Compact"/>
              <w:jc w:val="right"/>
            </w:pPr>
            <w:r>
              <w:t xml:space="preserve">4,322.3</w:t>
            </w:r>
          </w:p>
        </w:tc>
        <w:tc>
          <w:tcPr/>
          <w:p>
            <w:pPr>
              <w:pStyle w:val="Compact"/>
              <w:jc w:val="right"/>
            </w:pPr>
            <w:r>
              <w:t xml:space="preserve">6,898</w:t>
            </w:r>
          </w:p>
        </w:tc>
        <w:tc>
          <w:tcPr/>
          <w:p>
            <w:pPr>
              <w:pStyle w:val="Compact"/>
              <w:jc w:val="right"/>
            </w:pPr>
            <w:r>
              <w:t xml:space="preserve">27,893</w:t>
            </w:r>
          </w:p>
        </w:tc>
      </w:tr>
      <w:tr>
        <w:tc>
          <w:tcPr/>
          <w:p>
            <w:pPr>
              <w:pStyle w:val="Compact"/>
              <w:jc w:val="left"/>
            </w:pPr>
            <w:r>
              <w:t xml:space="preserve">Fall 2019</w:t>
            </w:r>
          </w:p>
        </w:tc>
        <w:tc>
          <w:tcPr/>
          <w:p>
            <w:pPr>
              <w:pStyle w:val="Compact"/>
              <w:jc w:val="left"/>
            </w:pPr>
            <w:r>
              <w:t xml:space="preserve">Petersen</w:t>
            </w:r>
          </w:p>
        </w:tc>
        <w:tc>
          <w:tcPr/>
          <w:p>
            <w:pPr>
              <w:pStyle w:val="Compact"/>
              <w:jc w:val="right"/>
            </w:pPr>
            <w:r>
              <w:t xml:space="preserve">15,105</w:t>
            </w:r>
          </w:p>
        </w:tc>
        <w:tc>
          <w:tcPr/>
          <w:p>
            <w:pPr>
              <w:pStyle w:val="Compact"/>
              <w:jc w:val="right"/>
            </w:pPr>
            <w:r>
              <w:t xml:space="preserve">5,658.3</w:t>
            </w:r>
          </w:p>
        </w:tc>
        <w:tc>
          <w:tcPr/>
          <w:p>
            <w:pPr>
              <w:pStyle w:val="Compact"/>
              <w:jc w:val="right"/>
            </w:pPr>
            <w:r>
              <w:t xml:space="preserve">7,331</w:t>
            </w:r>
          </w:p>
        </w:tc>
        <w:tc>
          <w:tcPr/>
          <w:p>
            <w:pPr>
              <w:pStyle w:val="Compact"/>
              <w:jc w:val="right"/>
            </w:pPr>
            <w:r>
              <w:t xml:space="preserve">37,569</w:t>
            </w:r>
          </w:p>
        </w:tc>
      </w:tr>
      <w:tr>
        <w:tc>
          <w:tcPr/>
          <w:p>
            <w:pPr>
              <w:pStyle w:val="Compact"/>
              <w:jc w:val="left"/>
            </w:pPr>
            <w:r>
              <w:t xml:space="preserve">Fall 2019</w:t>
            </w:r>
          </w:p>
        </w:tc>
        <w:tc>
          <w:tcPr/>
          <w:p>
            <w:pPr>
              <w:pStyle w:val="Compact"/>
              <w:jc w:val="left"/>
            </w:pPr>
            <w:r>
              <w:t xml:space="preserve">Schnabel</w:t>
            </w:r>
          </w:p>
        </w:tc>
        <w:tc>
          <w:tcPr/>
          <w:p>
            <w:pPr>
              <w:pStyle w:val="Compact"/>
              <w:jc w:val="right"/>
            </w:pPr>
            <w:r>
              <w:t xml:space="preserve">18,732</w:t>
            </w:r>
          </w:p>
        </w:tc>
        <w:tc>
          <w:tcPr/>
          <w:p>
            <w:pPr>
              <w:pStyle w:val="Compact"/>
              <w:jc w:val="right"/>
            </w:pPr>
            <w:r>
              <w:t xml:space="preserve">-</w:t>
            </w:r>
          </w:p>
        </w:tc>
        <w:tc>
          <w:tcPr/>
          <w:p>
            <w:pPr>
              <w:pStyle w:val="Compact"/>
              <w:jc w:val="right"/>
            </w:pPr>
            <w:r>
              <w:t xml:space="preserve">10,057</w:t>
            </w:r>
          </w:p>
        </w:tc>
        <w:tc>
          <w:tcPr/>
          <w:p>
            <w:pPr>
              <w:pStyle w:val="Compact"/>
              <w:jc w:val="right"/>
            </w:pPr>
            <w:r>
              <w:t xml:space="preserve">37,851</w:t>
            </w:r>
          </w:p>
        </w:tc>
      </w:tr>
      <w:tr>
        <w:tc>
          <w:tcPr/>
          <w:p>
            <w:pPr>
              <w:pStyle w:val="Compact"/>
              <w:jc w:val="left"/>
            </w:pPr>
            <w:r>
              <w:t xml:space="preserve">Fall 2019</w:t>
            </w:r>
          </w:p>
        </w:tc>
        <w:tc>
          <w:tcPr/>
          <w:p>
            <w:pPr>
              <w:pStyle w:val="Compact"/>
              <w:jc w:val="left"/>
            </w:pPr>
            <w:r>
              <w:t xml:space="preserve">Schumacher-Eschmeyer</w:t>
            </w:r>
          </w:p>
        </w:tc>
        <w:tc>
          <w:tcPr/>
          <w:p>
            <w:pPr>
              <w:pStyle w:val="Compact"/>
              <w:jc w:val="right"/>
            </w:pPr>
            <w:r>
              <w:t xml:space="preserve">20,615</w:t>
            </w:r>
          </w:p>
        </w:tc>
        <w:tc>
          <w:tcPr/>
          <w:p>
            <w:pPr>
              <w:pStyle w:val="Compact"/>
              <w:jc w:val="right"/>
            </w:pPr>
            <w:r>
              <w:t xml:space="preserve">-</w:t>
            </w:r>
          </w:p>
        </w:tc>
        <w:tc>
          <w:tcPr/>
          <w:p>
            <w:pPr>
              <w:pStyle w:val="Compact"/>
              <w:jc w:val="right"/>
            </w:pPr>
            <w:r>
              <w:t xml:space="preserve">14,393</w:t>
            </w:r>
          </w:p>
        </w:tc>
        <w:tc>
          <w:tcPr/>
          <w:p>
            <w:pPr>
              <w:pStyle w:val="Compact"/>
              <w:jc w:val="right"/>
            </w:pPr>
            <w:r>
              <w:t xml:space="preserve">36,313</w:t>
            </w:r>
          </w:p>
        </w:tc>
      </w:tr>
      <w:tr>
        <w:tc>
          <w:tcPr/>
          <w:p>
            <w:pPr>
              <w:pStyle w:val="Compact"/>
              <w:jc w:val="left"/>
            </w:pPr>
            <w:r>
              <w:t xml:space="preserve">Fall 2020</w:t>
            </w:r>
          </w:p>
        </w:tc>
        <w:tc>
          <w:tcPr/>
          <w:p>
            <w:pPr>
              <w:pStyle w:val="Compact"/>
              <w:jc w:val="left"/>
            </w:pPr>
            <w:r>
              <w:t xml:space="preserve">Chapman</w:t>
            </w:r>
          </w:p>
        </w:tc>
        <w:tc>
          <w:tcPr/>
          <w:p>
            <w:pPr>
              <w:pStyle w:val="Compact"/>
              <w:jc w:val="right"/>
            </w:pPr>
            <w:r>
              <w:t xml:space="preserve">24,882</w:t>
            </w:r>
          </w:p>
        </w:tc>
        <w:tc>
          <w:tcPr/>
          <w:p>
            <w:pPr>
              <w:pStyle w:val="Compact"/>
              <w:jc w:val="right"/>
            </w:pPr>
            <w:r>
              <w:t xml:space="preserve">9,253.8</w:t>
            </w:r>
          </w:p>
        </w:tc>
        <w:tc>
          <w:tcPr/>
          <w:p>
            <w:pPr>
              <w:pStyle w:val="Compact"/>
              <w:jc w:val="right"/>
            </w:pPr>
            <w:r>
              <w:t xml:space="preserve">11,784</w:t>
            </w:r>
          </w:p>
        </w:tc>
        <w:tc>
          <w:tcPr/>
          <w:p>
            <w:pPr>
              <w:pStyle w:val="Compact"/>
              <w:jc w:val="right"/>
            </w:pPr>
            <w:r>
              <w:t xml:space="preserve">56,907</w:t>
            </w:r>
          </w:p>
        </w:tc>
      </w:tr>
      <w:tr>
        <w:tc>
          <w:tcPr/>
          <w:p>
            <w:pPr>
              <w:pStyle w:val="Compact"/>
              <w:jc w:val="left"/>
            </w:pPr>
            <w:r>
              <w:t xml:space="preserve">Fall 2020</w:t>
            </w:r>
          </w:p>
        </w:tc>
        <w:tc>
          <w:tcPr/>
          <w:p>
            <w:pPr>
              <w:pStyle w:val="Compact"/>
              <w:jc w:val="left"/>
            </w:pPr>
            <w:r>
              <w:t xml:space="preserve">Petersen</w:t>
            </w:r>
          </w:p>
        </w:tc>
        <w:tc>
          <w:tcPr/>
          <w:p>
            <w:pPr>
              <w:pStyle w:val="Compact"/>
              <w:jc w:val="right"/>
            </w:pPr>
            <w:r>
              <w:t xml:space="preserve">29,700</w:t>
            </w:r>
          </w:p>
        </w:tc>
        <w:tc>
          <w:tcPr/>
          <w:p>
            <w:pPr>
              <w:pStyle w:val="Compact"/>
              <w:jc w:val="right"/>
            </w:pPr>
            <w:r>
              <w:t xml:space="preserve">13,170.0</w:t>
            </w:r>
          </w:p>
        </w:tc>
        <w:tc>
          <w:tcPr/>
          <w:p>
            <w:pPr>
              <w:pStyle w:val="Compact"/>
              <w:jc w:val="right"/>
            </w:pPr>
            <w:r>
              <w:t xml:space="preserve">12,727</w:t>
            </w:r>
          </w:p>
        </w:tc>
        <w:tc>
          <w:tcPr/>
          <w:p>
            <w:pPr>
              <w:pStyle w:val="Compact"/>
              <w:jc w:val="right"/>
            </w:pPr>
            <w:r>
              <w:t xml:space="preserve">91,470</w:t>
            </w:r>
          </w:p>
        </w:tc>
      </w:tr>
      <w:tr>
        <w:tc>
          <w:tcPr/>
          <w:p>
            <w:pPr>
              <w:pStyle w:val="Compact"/>
              <w:jc w:val="left"/>
            </w:pPr>
            <w:r>
              <w:t xml:space="preserve">Fall 2020</w:t>
            </w:r>
          </w:p>
        </w:tc>
        <w:tc>
          <w:tcPr/>
          <w:p>
            <w:pPr>
              <w:pStyle w:val="Compact"/>
              <w:jc w:val="left"/>
            </w:pPr>
            <w:r>
              <w:t xml:space="preserve">Schnabel</w:t>
            </w:r>
          </w:p>
        </w:tc>
        <w:tc>
          <w:tcPr/>
          <w:p>
            <w:pPr>
              <w:pStyle w:val="Compact"/>
              <w:jc w:val="right"/>
            </w:pPr>
            <w:r>
              <w:t xml:space="preserve">37,556</w:t>
            </w:r>
          </w:p>
        </w:tc>
        <w:tc>
          <w:tcPr/>
          <w:p>
            <w:pPr>
              <w:pStyle w:val="Compact"/>
              <w:jc w:val="right"/>
            </w:pPr>
            <w:r>
              <w:t xml:space="preserve">-</w:t>
            </w:r>
          </w:p>
        </w:tc>
        <w:tc>
          <w:tcPr/>
          <w:p>
            <w:pPr>
              <w:pStyle w:val="Compact"/>
              <w:jc w:val="right"/>
            </w:pPr>
            <w:r>
              <w:t xml:space="preserve">18,698</w:t>
            </w:r>
          </w:p>
        </w:tc>
        <w:tc>
          <w:tcPr/>
          <w:p>
            <w:pPr>
              <w:pStyle w:val="Compact"/>
              <w:jc w:val="right"/>
            </w:pPr>
            <w:r>
              <w:t xml:space="preserve">82,105</w:t>
            </w:r>
          </w:p>
        </w:tc>
      </w:tr>
      <w:tr>
        <w:tc>
          <w:tcPr/>
          <w:p>
            <w:pPr>
              <w:pStyle w:val="Compact"/>
              <w:jc w:val="left"/>
            </w:pPr>
            <w:r>
              <w:t xml:space="preserve">Fall 2020</w:t>
            </w:r>
          </w:p>
        </w:tc>
        <w:tc>
          <w:tcPr/>
          <w:p>
            <w:pPr>
              <w:pStyle w:val="Compact"/>
              <w:jc w:val="left"/>
            </w:pPr>
            <w:r>
              <w:t xml:space="preserve">Schumacher-Eschmeyer</w:t>
            </w:r>
          </w:p>
        </w:tc>
        <w:tc>
          <w:tcPr/>
          <w:p>
            <w:pPr>
              <w:pStyle w:val="Compact"/>
              <w:jc w:val="right"/>
            </w:pPr>
            <w:r>
              <w:t xml:space="preserve">43,279</w:t>
            </w:r>
          </w:p>
        </w:tc>
        <w:tc>
          <w:tcPr/>
          <w:p>
            <w:pPr>
              <w:pStyle w:val="Compact"/>
              <w:jc w:val="right"/>
            </w:pPr>
            <w:r>
              <w:t xml:space="preserve">-</w:t>
            </w:r>
          </w:p>
        </w:tc>
        <w:tc>
          <w:tcPr/>
          <w:p>
            <w:pPr>
              <w:pStyle w:val="Compact"/>
              <w:jc w:val="right"/>
            </w:pPr>
            <w:r>
              <w:t xml:space="preserve">23,061</w:t>
            </w:r>
          </w:p>
        </w:tc>
        <w:tc>
          <w:tcPr/>
          <w:p>
            <w:pPr>
              <w:pStyle w:val="Compact"/>
              <w:jc w:val="right"/>
            </w:pPr>
            <w:r>
              <w:t xml:space="preserve">351,090</w:t>
            </w:r>
          </w:p>
        </w:tc>
      </w:tr>
    </w:tbl>
    <w:p>
      <w:r>
        <w:br w:type="page"/>
      </w:r>
    </w:p>
    <w:bookmarkEnd w:id="70"/>
    <w:bookmarkStart w:id="78" w:name="figures"/>
    <w:p>
      <w:pPr>
        <w:pStyle w:val="Heading1"/>
      </w:pPr>
      <w:r>
        <w:t xml:space="preserve">Figures</w:t>
      </w:r>
    </w:p>
    <w:bookmarkStart w:id="71" w:name="figures"/>
    <w:bookmarkEnd w:id="71"/>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72"/>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p>
      <w:pPr>
        <w:pStyle w:val="CaptionedFigure"/>
      </w:pPr>
      <w:r>
        <w:drawing>
          <wp:inline>
            <wp:extent cx="5504749" cy="3669832"/>
            <wp:effectExtent b="0" l="0" r="0" t="0"/>
            <wp:docPr descr="Figure 2: Estimates of abundance of northern pikeminnow using different estimators." title="" id="1" name="Picture"/>
            <a:graphic>
              <a:graphicData uri="http://schemas.openxmlformats.org/drawingml/2006/picture">
                <pic:pic>
                  <pic:nvPicPr>
                    <pic:cNvPr descr="../figures/abund-fig-1.png" id="0" name="Picture"/>
                    <pic:cNvPicPr>
                      <a:picLocks noChangeArrowheads="1" noChangeAspect="1"/>
                    </pic:cNvPicPr>
                  </pic:nvPicPr>
                  <pic:blipFill>
                    <a:blip r:embed="rId7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 Estimates of abundance of northern pikeminnow using different estimators.</w:t>
      </w:r>
    </w:p>
    <w:p>
      <w:r>
        <w:br w:type="page"/>
      </w:r>
    </w:p>
    <w:p>
      <w:pPr>
        <w:pStyle w:val="CaptionedFigure"/>
      </w:pPr>
      <w:r>
        <w:drawing>
          <wp:inline>
            <wp:extent cx="5504749" cy="3669832"/>
            <wp:effectExtent b="0" l="0" r="0" t="0"/>
            <wp:docPr descr="Figure 3: Total catch per unit effort across entire sampling event." title="" id="1" name="Picture"/>
            <a:graphic>
              <a:graphicData uri="http://schemas.openxmlformats.org/drawingml/2006/picture">
                <pic:pic>
                  <pic:nvPicPr>
                    <pic:cNvPr descr="../figures/cpue-fig-1.png" id="0" name="Picture"/>
                    <pic:cNvPicPr>
                      <a:picLocks noChangeArrowheads="1" noChangeAspect="1"/>
                    </pic:cNvPicPr>
                  </pic:nvPicPr>
                  <pic:blipFill>
                    <a:blip r:embed="rId7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 Total catch per unit effort across entire sampling event.</w:t>
      </w:r>
    </w:p>
    <w:p>
      <w:r>
        <w:br w:type="page"/>
      </w:r>
    </w:p>
    <w:p>
      <w:pPr>
        <w:pStyle w:val="CaptionedFigure"/>
      </w:pPr>
      <w:r>
        <w:drawing>
          <wp:inline>
            <wp:extent cx="5504749" cy="3669832"/>
            <wp:effectExtent b="0" l="0" r="0" t="0"/>
            <wp:docPr descr="Figure 4: First bioenergetics plot." title="" id="1" name="Picture"/>
            <a:graphic>
              <a:graphicData uri="http://schemas.openxmlformats.org/drawingml/2006/picture">
                <pic:pic>
                  <pic:nvPicPr>
                    <pic:cNvPr descr="../figures/fall-bio-fig-1.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 First bioenergetics plot.</w:t>
      </w:r>
    </w:p>
    <w:p>
      <w:r>
        <w:br w:type="page"/>
      </w:r>
    </w:p>
    <w:p>
      <w:pPr>
        <w:pStyle w:val="CaptionedFigure"/>
      </w:pPr>
      <w:r>
        <w:drawing>
          <wp:inline>
            <wp:extent cx="5504749" cy="3669832"/>
            <wp:effectExtent b="0" l="0" r="0" t="0"/>
            <wp:docPr descr="Figure 5: Next bioenergetics plot." title="" id="1" name="Picture"/>
            <a:graphic>
              <a:graphicData uri="http://schemas.openxmlformats.org/drawingml/2006/picture">
                <pic:pic>
                  <pic:nvPicPr>
                    <pic:cNvPr descr="../figures/full-yr-ng-fig-1.png" id="0" name="Picture"/>
                    <pic:cNvPicPr>
                      <a:picLocks noChangeArrowheads="1" noChangeAspect="1"/>
                    </pic:cNvPicPr>
                  </pic:nvPicPr>
                  <pic:blipFill>
                    <a:blip r:embed="rId7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5: Next bioenergetics plot.</w:t>
      </w:r>
    </w:p>
    <w:p>
      <w:r>
        <w:br w:type="page"/>
      </w:r>
    </w:p>
    <w:bookmarkStart w:id="77" w:name="colophon"/>
    <w:p>
      <w:pPr>
        <w:pStyle w:val="Heading3"/>
      </w:pPr>
      <w:r>
        <w:t xml:space="preserve">Colophon</w:t>
      </w:r>
    </w:p>
    <w:p>
      <w:pPr>
        <w:pStyle w:val="FirstParagraph"/>
      </w:pPr>
      <w:r>
        <w:t xml:space="preserve">This report was generated on 2021-11-23 10:06:04 using the following computational environment and dependencies:</w:t>
      </w:r>
    </w:p>
    <w:p>
      <w:pPr>
        <w:pStyle w:val="SourceCode"/>
      </w:pPr>
      <w:r>
        <w:rPr>
          <w:rStyle w:val="VerbatimChar"/>
        </w:rPr>
        <w:t xml:space="preserve">#&gt; - Session info  --------------------------------------------------------------</w:t>
      </w:r>
      <w:r>
        <w:br/>
      </w:r>
      <w:r>
        <w:rPr>
          <w:rStyle w:val="VerbatimChar"/>
        </w:rPr>
        <w:t xml:space="preserve">#&gt;  hash: telescope, frog, flag: Sri Lanka</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19043)</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2021-11-23</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farver         2.1.0   2021-02-28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highr          0.9     2021-04-16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kableExtra   * 1.3.4   2021-02-20 [1] CRAN (R 4.1.1)</w:t>
      </w:r>
      <w:r>
        <w:br/>
      </w:r>
      <w:r>
        <w:rPr>
          <w:rStyle w:val="VerbatimChar"/>
        </w:rPr>
        <w:t xml:space="preserve">#&gt;  knitr        * 1.36    2021-09-29 [1] CRAN (R 4.1.1)</w:t>
      </w:r>
      <w:r>
        <w:br/>
      </w:r>
      <w:r>
        <w:rPr>
          <w:rStyle w:val="VerbatimChar"/>
        </w:rPr>
        <w:t xml:space="preserve">#&gt;  labeling       0.4.2   2020-10-20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RColorBrewer   1.1-2   2014-12-07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 1.7.5   2021-10-04 [1] CRAN (R 4.1.1)</w:t>
      </w:r>
      <w:r>
        <w:br/>
      </w:r>
      <w:r>
        <w:rPr>
          <w:rStyle w:val="VerbatimChar"/>
        </w:rPr>
        <w:t xml:space="preserve">#&gt;  stringr      * 1.4.0   2019-02-10 [1] CRAN (R 4.1.1)</w:t>
      </w:r>
      <w:r>
        <w:br/>
      </w:r>
      <w:r>
        <w:rPr>
          <w:rStyle w:val="VerbatimChar"/>
        </w:rPr>
        <w:t xml:space="preserve">#&gt;  svglite        2.0.0   2021-02-20 [1] CRAN (R 4.1.1)</w:t>
      </w:r>
      <w:r>
        <w:br/>
      </w:r>
      <w:r>
        <w:rPr>
          <w:rStyle w:val="VerbatimChar"/>
        </w:rPr>
        <w:t xml:space="preserve">#&gt;  systemfonts    1.0.3   2021-10-13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viridisLite    0.4.0   2021-04-13 [1] CRAN (R 4.1.1)</w:t>
      </w:r>
      <w:r>
        <w:br/>
      </w:r>
      <w:r>
        <w:rPr>
          <w:rStyle w:val="VerbatimChar"/>
        </w:rPr>
        <w:t xml:space="preserve">#&gt;  vroom          1.5.5   2021-09-14 [1] CRAN (R 4.1.1)</w:t>
      </w:r>
      <w:r>
        <w:br/>
      </w:r>
      <w:r>
        <w:rPr>
          <w:rStyle w:val="VerbatimChar"/>
        </w:rPr>
        <w:t xml:space="preserve">#&gt;  webshot        0.5.2   2019-11-22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r>
        <w:br w:type="page"/>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[8edbd14] 2021-11-23: round of TB edits added</w:t>
      </w:r>
    </w:p>
    <w:bookmarkEnd w:id="77"/>
    <w:bookmarkEnd w:id="78"/>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2021-11-23T17:06:06Z</dcterms:created>
  <dcterms:modified xsi:type="dcterms:W3CDTF">2021-11-23T17:06:06Z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../templates/american-fisheries-society.csl</vt:lpwstr>
  </property>
  <property fmtid="{D5CDD505-2E9C-101B-9397-08002B2CF9AE}" pid="6" name="date">
    <vt:lpwstr>23 November, 2021</vt:lpwstr>
  </property>
  <property fmtid="{D5CDD505-2E9C-101B-9397-08002B2CF9AE}" pid="7" name="fontsize">
    <vt:lpwstr>12pt</vt:lpwstr>
  </property>
  <property fmtid="{D5CDD505-2E9C-101B-9397-08002B2CF9AE}" pid="8" name="highlights">
    <vt:lpwstr>These are the highlights.</vt:lpwstr>
  </property>
  <property fmtid="{D5CDD505-2E9C-101B-9397-08002B2CF9AE}" pid="9" name="mainfont">
    <vt:lpwstr>Times New Roman</vt:lpwstr>
  </property>
  <property fmtid="{D5CDD505-2E9C-101B-9397-08002B2CF9AE}" pid="10" name="output">
    <vt:lpwstr/>
  </property>
</Properties>
</file>